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E2D93" w14:textId="0FE67C1E" w:rsidR="00802D7E" w:rsidRPr="00315EB4" w:rsidRDefault="00802D7E" w:rsidP="003A118B">
      <w:pPr>
        <w:widowControl w:val="0"/>
        <w:spacing w:line="360" w:lineRule="auto"/>
        <w:jc w:val="both"/>
        <w:rPr>
          <w:sz w:val="22"/>
          <w:szCs w:val="22"/>
          <w:lang w:val="uk-UA"/>
        </w:rPr>
      </w:pPr>
      <w:r w:rsidRPr="00315EB4">
        <w:rPr>
          <w:sz w:val="22"/>
          <w:szCs w:val="22"/>
          <w:lang w:val="uk-UA"/>
        </w:rPr>
        <w:t>УДК 620.92</w:t>
      </w:r>
    </w:p>
    <w:p w14:paraId="350733E0" w14:textId="60E870EC" w:rsidR="00B67CD7" w:rsidRPr="00E30C50" w:rsidRDefault="00315EB4" w:rsidP="00B67CD7">
      <w:pPr>
        <w:spacing w:line="312" w:lineRule="auto"/>
        <w:jc w:val="center"/>
        <w:rPr>
          <w:b/>
          <w:sz w:val="24"/>
          <w:szCs w:val="24"/>
          <w:lang w:val="uk-UA"/>
        </w:rPr>
      </w:pPr>
      <w:r w:rsidRPr="00E30C50">
        <w:rPr>
          <w:b/>
          <w:bCs/>
          <w:sz w:val="24"/>
          <w:szCs w:val="24"/>
          <w:shd w:val="clear" w:color="auto" w:fill="FFFFFF"/>
          <w:lang w:val="uk-UA"/>
        </w:rPr>
        <w:t xml:space="preserve">ПОТОЧНИЙ СТАН ТА ПЕРСПЕКТИВИ ВИКОРИСТАННЯ </w:t>
      </w:r>
      <w:r w:rsidR="00274090" w:rsidRPr="00E30C50">
        <w:rPr>
          <w:b/>
          <w:bCs/>
          <w:sz w:val="24"/>
          <w:szCs w:val="24"/>
          <w:shd w:val="clear" w:color="auto" w:fill="FFFFFF"/>
          <w:lang w:val="uk-UA"/>
        </w:rPr>
        <w:t>ВІДНОВЛЮВАНОЇ ЕНЕРГІЇ</w:t>
      </w:r>
      <w:r w:rsidRPr="00E30C50">
        <w:rPr>
          <w:b/>
          <w:bCs/>
          <w:sz w:val="24"/>
          <w:szCs w:val="24"/>
          <w:shd w:val="clear" w:color="auto" w:fill="FFFFFF"/>
          <w:lang w:val="uk-UA"/>
        </w:rPr>
        <w:t xml:space="preserve"> У ТРАНСПОРТНОМУ СЕКТОРІ</w:t>
      </w:r>
    </w:p>
    <w:p w14:paraId="705DD92F" w14:textId="77777777" w:rsidR="00802D7E" w:rsidRPr="00315EB4" w:rsidRDefault="00802D7E" w:rsidP="00802D7E">
      <w:pPr>
        <w:rPr>
          <w:b/>
          <w:sz w:val="22"/>
          <w:szCs w:val="22"/>
          <w:highlight w:val="yellow"/>
          <w:lang w:val="uk-UA"/>
        </w:rPr>
      </w:pPr>
    </w:p>
    <w:p w14:paraId="5B61E4D9" w14:textId="7895304C" w:rsidR="00802D7E" w:rsidRPr="00315EB4" w:rsidRDefault="003329D3" w:rsidP="00713941">
      <w:pPr>
        <w:spacing w:line="360" w:lineRule="auto"/>
        <w:outlineLvl w:val="0"/>
        <w:rPr>
          <w:sz w:val="22"/>
          <w:szCs w:val="22"/>
          <w:lang w:val="uk-UA"/>
        </w:rPr>
      </w:pPr>
      <w:r w:rsidRPr="00315EB4">
        <w:rPr>
          <w:b/>
          <w:sz w:val="22"/>
          <w:szCs w:val="22"/>
          <w:lang w:val="uk-UA"/>
        </w:rPr>
        <w:t xml:space="preserve">Желєзна Т.А., </w:t>
      </w:r>
      <w:r w:rsidR="004F0C90" w:rsidRPr="00315EB4">
        <w:rPr>
          <w:sz w:val="22"/>
          <w:szCs w:val="22"/>
          <w:lang w:val="uk-UA"/>
        </w:rPr>
        <w:t xml:space="preserve">канд. техн. </w:t>
      </w:r>
      <w:r w:rsidR="00BE7A1B" w:rsidRPr="00315EB4">
        <w:rPr>
          <w:sz w:val="22"/>
          <w:szCs w:val="22"/>
          <w:lang w:val="uk-UA"/>
        </w:rPr>
        <w:t>н</w:t>
      </w:r>
      <w:r w:rsidR="004F0C90" w:rsidRPr="00315EB4">
        <w:rPr>
          <w:sz w:val="22"/>
          <w:szCs w:val="22"/>
          <w:lang w:val="uk-UA"/>
        </w:rPr>
        <w:t>аук</w:t>
      </w:r>
      <w:r w:rsidR="00190B0A">
        <w:rPr>
          <w:sz w:val="22"/>
          <w:szCs w:val="22"/>
          <w:lang w:val="uk-UA"/>
        </w:rPr>
        <w:t xml:space="preserve">, </w:t>
      </w:r>
      <w:r w:rsidR="00190B0A" w:rsidRPr="004F4228">
        <w:rPr>
          <w:b/>
          <w:sz w:val="22"/>
          <w:szCs w:val="22"/>
          <w:lang w:val="uk-UA"/>
        </w:rPr>
        <w:t>Баштовий А.І.</w:t>
      </w:r>
      <w:r w:rsidR="00190B0A" w:rsidRPr="004F4228">
        <w:rPr>
          <w:sz w:val="22"/>
          <w:szCs w:val="22"/>
          <w:lang w:val="uk-UA"/>
        </w:rPr>
        <w:t>, канд. техн. наук</w:t>
      </w:r>
    </w:p>
    <w:p w14:paraId="55952D93" w14:textId="7EF442FA" w:rsidR="00802D7E" w:rsidRPr="004A267F" w:rsidRDefault="00713941" w:rsidP="00802D7E">
      <w:pPr>
        <w:spacing w:line="360" w:lineRule="auto"/>
        <w:outlineLvl w:val="0"/>
        <w:rPr>
          <w:i/>
          <w:sz w:val="22"/>
          <w:szCs w:val="22"/>
          <w:lang w:val="uk-UA"/>
        </w:rPr>
      </w:pPr>
      <w:r w:rsidRPr="004A267F">
        <w:rPr>
          <w:i/>
          <w:sz w:val="22"/>
          <w:szCs w:val="22"/>
          <w:lang w:val="uk-UA"/>
        </w:rPr>
        <w:t>Інститут</w:t>
      </w:r>
      <w:r w:rsidR="00802D7E" w:rsidRPr="004A267F">
        <w:rPr>
          <w:i/>
          <w:sz w:val="22"/>
          <w:szCs w:val="22"/>
          <w:lang w:val="uk-UA"/>
        </w:rPr>
        <w:t xml:space="preserve"> </w:t>
      </w:r>
      <w:r w:rsidRPr="004A267F">
        <w:rPr>
          <w:i/>
          <w:sz w:val="22"/>
          <w:szCs w:val="22"/>
          <w:lang w:val="uk-UA"/>
        </w:rPr>
        <w:t>технічної</w:t>
      </w:r>
      <w:r w:rsidR="00802D7E" w:rsidRPr="004A267F">
        <w:rPr>
          <w:i/>
          <w:sz w:val="22"/>
          <w:szCs w:val="22"/>
          <w:lang w:val="uk-UA"/>
        </w:rPr>
        <w:t xml:space="preserve"> </w:t>
      </w:r>
      <w:r w:rsidRPr="004A267F">
        <w:rPr>
          <w:i/>
          <w:sz w:val="22"/>
          <w:szCs w:val="22"/>
          <w:lang w:val="uk-UA"/>
        </w:rPr>
        <w:t>теплофізики</w:t>
      </w:r>
      <w:r w:rsidR="00802D7E" w:rsidRPr="004A267F">
        <w:rPr>
          <w:i/>
          <w:sz w:val="22"/>
          <w:szCs w:val="22"/>
          <w:lang w:val="uk-UA"/>
        </w:rPr>
        <w:t xml:space="preserve"> НАН </w:t>
      </w:r>
      <w:r w:rsidRPr="004A267F">
        <w:rPr>
          <w:i/>
          <w:sz w:val="22"/>
          <w:szCs w:val="22"/>
          <w:lang w:val="uk-UA"/>
        </w:rPr>
        <w:t>України</w:t>
      </w:r>
      <w:r w:rsidR="00802D7E" w:rsidRPr="004A267F">
        <w:rPr>
          <w:i/>
          <w:sz w:val="22"/>
          <w:szCs w:val="22"/>
          <w:lang w:val="uk-UA"/>
        </w:rPr>
        <w:t xml:space="preserve">, </w:t>
      </w:r>
      <w:r w:rsidRPr="004A267F">
        <w:rPr>
          <w:i/>
          <w:sz w:val="22"/>
          <w:szCs w:val="22"/>
          <w:lang w:val="uk-UA"/>
        </w:rPr>
        <w:t>в</w:t>
      </w:r>
      <w:r w:rsidR="00802D7E" w:rsidRPr="004A267F">
        <w:rPr>
          <w:i/>
          <w:sz w:val="22"/>
          <w:szCs w:val="22"/>
          <w:lang w:val="uk-UA"/>
        </w:rPr>
        <w:t xml:space="preserve">ул. </w:t>
      </w:r>
      <w:r w:rsidR="007A76E8" w:rsidRPr="004A267F">
        <w:rPr>
          <w:i/>
          <w:sz w:val="22"/>
          <w:szCs w:val="22"/>
          <w:lang w:val="uk-UA"/>
        </w:rPr>
        <w:t>Марії Капніст</w:t>
      </w:r>
      <w:r w:rsidR="00802D7E" w:rsidRPr="004A267F">
        <w:rPr>
          <w:i/>
          <w:sz w:val="22"/>
          <w:szCs w:val="22"/>
          <w:lang w:val="uk-UA"/>
        </w:rPr>
        <w:t xml:space="preserve">, 2а, </w:t>
      </w:r>
      <w:r w:rsidR="009F3287" w:rsidRPr="004A267F">
        <w:rPr>
          <w:i/>
          <w:sz w:val="22"/>
          <w:szCs w:val="22"/>
          <w:lang w:val="uk-UA"/>
        </w:rPr>
        <w:t>Ки</w:t>
      </w:r>
      <w:r w:rsidRPr="004A267F">
        <w:rPr>
          <w:i/>
          <w:sz w:val="22"/>
          <w:szCs w:val="22"/>
          <w:lang w:val="uk-UA"/>
        </w:rPr>
        <w:t>ї</w:t>
      </w:r>
      <w:r w:rsidR="009F3287" w:rsidRPr="004A267F">
        <w:rPr>
          <w:i/>
          <w:sz w:val="22"/>
          <w:szCs w:val="22"/>
          <w:lang w:val="uk-UA"/>
        </w:rPr>
        <w:t xml:space="preserve">в, </w:t>
      </w:r>
      <w:r w:rsidR="00802D7E" w:rsidRPr="004A267F">
        <w:rPr>
          <w:i/>
          <w:sz w:val="22"/>
          <w:szCs w:val="22"/>
          <w:lang w:val="uk-UA"/>
        </w:rPr>
        <w:t>03</w:t>
      </w:r>
      <w:r w:rsidR="003B37D1" w:rsidRPr="004A267F">
        <w:rPr>
          <w:i/>
          <w:sz w:val="22"/>
          <w:szCs w:val="22"/>
        </w:rPr>
        <w:t>057</w:t>
      </w:r>
      <w:r w:rsidR="00802D7E" w:rsidRPr="004A267F">
        <w:rPr>
          <w:i/>
          <w:sz w:val="22"/>
          <w:szCs w:val="22"/>
          <w:lang w:val="uk-UA"/>
        </w:rPr>
        <w:t xml:space="preserve">, </w:t>
      </w:r>
      <w:r w:rsidR="004A267F" w:rsidRPr="004A267F">
        <w:rPr>
          <w:i/>
          <w:sz w:val="22"/>
          <w:szCs w:val="22"/>
          <w:lang w:val="uk-UA"/>
        </w:rPr>
        <w:t>Україна</w:t>
      </w:r>
    </w:p>
    <w:p w14:paraId="2D2A635B" w14:textId="2D530541" w:rsidR="004A267F" w:rsidRPr="006A3367" w:rsidRDefault="004A267F" w:rsidP="004A267F">
      <w:pPr>
        <w:spacing w:line="360" w:lineRule="auto"/>
        <w:jc w:val="center"/>
        <w:rPr>
          <w:sz w:val="22"/>
          <w:szCs w:val="22"/>
          <w:lang w:val="uk-UA"/>
        </w:rPr>
      </w:pPr>
      <w:r w:rsidRPr="006A3367">
        <w:rPr>
          <w:sz w:val="22"/>
          <w:szCs w:val="22"/>
          <w:u w:val="single"/>
          <w:lang w:val="uk-UA"/>
        </w:rPr>
        <w:t>https:doi.org//10.31472/ttpe.1.2022.</w:t>
      </w:r>
      <w:r w:rsidR="008844A5">
        <w:rPr>
          <w:sz w:val="22"/>
          <w:szCs w:val="22"/>
          <w:u w:val="single"/>
          <w:lang w:val="uk-UA"/>
        </w:rPr>
        <w:t>5</w:t>
      </w:r>
    </w:p>
    <w:p w14:paraId="57024AF3" w14:textId="77777777" w:rsidR="00802D7E" w:rsidRPr="00315EB4" w:rsidRDefault="00802D7E" w:rsidP="006833C8">
      <w:pPr>
        <w:widowControl w:val="0"/>
        <w:spacing w:line="360" w:lineRule="auto"/>
        <w:jc w:val="both"/>
        <w:rPr>
          <w:sz w:val="22"/>
          <w:szCs w:val="22"/>
          <w:highlight w:val="yellow"/>
          <w:lang w:val="uk-UA"/>
        </w:rPr>
      </w:pPr>
    </w:p>
    <w:tbl>
      <w:tblPr>
        <w:tblW w:w="10031" w:type="dxa"/>
        <w:tblLook w:val="04A0" w:firstRow="1" w:lastRow="0" w:firstColumn="1" w:lastColumn="0" w:noHBand="0" w:noVBand="1"/>
      </w:tblPr>
      <w:tblGrid>
        <w:gridCol w:w="3343"/>
        <w:gridCol w:w="3344"/>
        <w:gridCol w:w="3344"/>
      </w:tblGrid>
      <w:tr w:rsidR="00A010D2" w:rsidRPr="008844A5" w14:paraId="0B70689B" w14:textId="77777777" w:rsidTr="00EA678D">
        <w:tc>
          <w:tcPr>
            <w:tcW w:w="3343" w:type="dxa"/>
            <w:shd w:val="clear" w:color="auto" w:fill="auto"/>
          </w:tcPr>
          <w:p w14:paraId="0E02315C" w14:textId="71676AD4" w:rsidR="00A535E3" w:rsidRPr="00283A4F" w:rsidRDefault="00DF58CB" w:rsidP="006050B9">
            <w:pPr>
              <w:spacing w:line="276" w:lineRule="auto"/>
              <w:jc w:val="both"/>
              <w:rPr>
                <w:sz w:val="18"/>
                <w:szCs w:val="18"/>
                <w:lang w:val="uk-UA"/>
              </w:rPr>
            </w:pPr>
            <w:r w:rsidRPr="00283A4F">
              <w:rPr>
                <w:sz w:val="18"/>
                <w:szCs w:val="18"/>
                <w:lang w:val="uk-UA"/>
              </w:rPr>
              <w:t>Розглянуто поточний стан та плани по використанню відновлюваної енергії у секторі транспорту ЄС з урахуванням існуючих вимог до сталості моторних біопалив.</w:t>
            </w:r>
            <w:r w:rsidRPr="00283A4F">
              <w:rPr>
                <w:sz w:val="22"/>
                <w:szCs w:val="22"/>
                <w:lang w:val="uk-UA"/>
              </w:rPr>
              <w:t xml:space="preserve"> </w:t>
            </w:r>
            <w:r w:rsidRPr="00283A4F">
              <w:rPr>
                <w:sz w:val="18"/>
                <w:szCs w:val="18"/>
                <w:lang w:val="uk-UA"/>
              </w:rPr>
              <w:t>Проаналізовано ситуацію в Україні</w:t>
            </w:r>
            <w:r w:rsidR="002F500A" w:rsidRPr="00283A4F">
              <w:rPr>
                <w:sz w:val="18"/>
                <w:szCs w:val="18"/>
                <w:lang w:val="uk-UA"/>
              </w:rPr>
              <w:t>.</w:t>
            </w:r>
            <w:r w:rsidRPr="00283A4F">
              <w:rPr>
                <w:sz w:val="18"/>
                <w:szCs w:val="18"/>
                <w:lang w:val="uk-UA"/>
              </w:rPr>
              <w:t xml:space="preserve"> Розроблено рекомендації щодо розвитку </w:t>
            </w:r>
            <w:r w:rsidR="00283A4F" w:rsidRPr="00283A4F">
              <w:rPr>
                <w:sz w:val="18"/>
                <w:szCs w:val="18"/>
                <w:lang w:val="uk-UA"/>
              </w:rPr>
              <w:t xml:space="preserve">даного </w:t>
            </w:r>
            <w:r w:rsidR="005640A1">
              <w:rPr>
                <w:sz w:val="18"/>
                <w:szCs w:val="18"/>
                <w:lang w:val="uk-UA"/>
              </w:rPr>
              <w:t>напрямку в Україні</w:t>
            </w:r>
            <w:r w:rsidR="00283A4F" w:rsidRPr="00283A4F">
              <w:rPr>
                <w:sz w:val="18"/>
                <w:szCs w:val="18"/>
                <w:lang w:val="uk-UA"/>
              </w:rPr>
              <w:t>.</w:t>
            </w:r>
          </w:p>
        </w:tc>
        <w:tc>
          <w:tcPr>
            <w:tcW w:w="3344" w:type="dxa"/>
            <w:shd w:val="clear" w:color="auto" w:fill="auto"/>
          </w:tcPr>
          <w:p w14:paraId="052C4B2D" w14:textId="1DE3EC1E" w:rsidR="00A535E3" w:rsidRPr="00315EB4" w:rsidRDefault="008137EF" w:rsidP="006050B9">
            <w:pPr>
              <w:widowControl w:val="0"/>
              <w:spacing w:line="276" w:lineRule="auto"/>
              <w:jc w:val="both"/>
              <w:rPr>
                <w:rFonts w:eastAsia="Calibri"/>
                <w:sz w:val="18"/>
                <w:szCs w:val="18"/>
                <w:highlight w:val="yellow"/>
                <w:lang w:eastAsia="en-US"/>
              </w:rPr>
            </w:pPr>
            <w:r w:rsidRPr="008137EF">
              <w:rPr>
                <w:sz w:val="18"/>
                <w:szCs w:val="18"/>
              </w:rPr>
              <w:t xml:space="preserve">Рассмотрено текущее состояние и планы по использованию возобновляемой энергии в секторе транспорта ЕС с учетом существующих требований к </w:t>
            </w:r>
            <w:r w:rsidR="005640A1">
              <w:rPr>
                <w:sz w:val="18"/>
                <w:szCs w:val="18"/>
              </w:rPr>
              <w:t>устойчивости</w:t>
            </w:r>
            <w:r w:rsidRPr="008137EF">
              <w:rPr>
                <w:sz w:val="18"/>
                <w:szCs w:val="18"/>
              </w:rPr>
              <w:t xml:space="preserve"> моторных биотоплив. Проанализирована ситуация в Украине. Разработаны рекомендации по развитию данного </w:t>
            </w:r>
            <w:r w:rsidR="005640A1">
              <w:rPr>
                <w:sz w:val="18"/>
                <w:szCs w:val="18"/>
              </w:rPr>
              <w:t>направления в Украине</w:t>
            </w:r>
            <w:r w:rsidRPr="008137EF">
              <w:rPr>
                <w:sz w:val="18"/>
                <w:szCs w:val="18"/>
              </w:rPr>
              <w:t>.</w:t>
            </w:r>
          </w:p>
        </w:tc>
        <w:tc>
          <w:tcPr>
            <w:tcW w:w="3344" w:type="dxa"/>
            <w:shd w:val="clear" w:color="auto" w:fill="auto"/>
          </w:tcPr>
          <w:p w14:paraId="0F4CAC08" w14:textId="5AD0BB3F" w:rsidR="00A535E3" w:rsidRPr="00315EB4" w:rsidRDefault="000758EA" w:rsidP="006050B9">
            <w:pPr>
              <w:widowControl w:val="0"/>
              <w:spacing w:line="276" w:lineRule="auto"/>
              <w:ind w:right="34"/>
              <w:jc w:val="both"/>
              <w:rPr>
                <w:sz w:val="18"/>
                <w:szCs w:val="18"/>
                <w:highlight w:val="yellow"/>
                <w:lang w:val="en-US"/>
              </w:rPr>
            </w:pPr>
            <w:r w:rsidRPr="000758EA">
              <w:rPr>
                <w:sz w:val="18"/>
                <w:szCs w:val="18"/>
                <w:lang w:val="en-US"/>
              </w:rPr>
              <w:t xml:space="preserve">The current state and plans for the use of renewable energy in the EU transport sector are considered, taking into account the existing requirements for the sustainability of motor biofuels. The situation in Ukraine is analyzed. Recommendations for the development of this </w:t>
            </w:r>
            <w:r>
              <w:rPr>
                <w:sz w:val="18"/>
                <w:szCs w:val="18"/>
                <w:lang w:val="en-US"/>
              </w:rPr>
              <w:t>area</w:t>
            </w:r>
            <w:r w:rsidRPr="000758EA">
              <w:rPr>
                <w:sz w:val="18"/>
                <w:szCs w:val="18"/>
                <w:lang w:val="en-US"/>
              </w:rPr>
              <w:t xml:space="preserve"> have been developed.</w:t>
            </w:r>
          </w:p>
        </w:tc>
      </w:tr>
    </w:tbl>
    <w:p w14:paraId="61FE8427" w14:textId="02022A5C" w:rsidR="00D63D21" w:rsidRPr="000B5050" w:rsidRDefault="00D63D21" w:rsidP="006050B9">
      <w:pPr>
        <w:spacing w:line="276" w:lineRule="auto"/>
        <w:rPr>
          <w:sz w:val="22"/>
          <w:szCs w:val="22"/>
          <w:lang w:val="uk-UA"/>
        </w:rPr>
      </w:pPr>
      <w:r w:rsidRPr="000B5050">
        <w:rPr>
          <w:sz w:val="22"/>
          <w:szCs w:val="22"/>
          <w:lang w:val="uk-UA"/>
        </w:rPr>
        <w:t>Бібл. 1</w:t>
      </w:r>
      <w:r w:rsidRPr="000B5050">
        <w:rPr>
          <w:sz w:val="22"/>
          <w:szCs w:val="22"/>
          <w:lang w:val="en-US"/>
        </w:rPr>
        <w:t>5</w:t>
      </w:r>
      <w:r w:rsidRPr="000B5050">
        <w:rPr>
          <w:sz w:val="22"/>
          <w:szCs w:val="22"/>
          <w:lang w:val="uk-UA"/>
        </w:rPr>
        <w:t xml:space="preserve">, табл. </w:t>
      </w:r>
      <w:r w:rsidR="00476BAC" w:rsidRPr="000B5050">
        <w:rPr>
          <w:sz w:val="22"/>
          <w:szCs w:val="22"/>
          <w:lang w:val="uk-UA"/>
        </w:rPr>
        <w:t>3</w:t>
      </w:r>
      <w:r w:rsidRPr="000B5050">
        <w:rPr>
          <w:sz w:val="22"/>
          <w:szCs w:val="22"/>
          <w:lang w:val="uk-UA"/>
        </w:rPr>
        <w:t xml:space="preserve">, рис. </w:t>
      </w:r>
      <w:r w:rsidR="001C1856">
        <w:rPr>
          <w:sz w:val="22"/>
          <w:szCs w:val="22"/>
          <w:lang w:val="uk-UA"/>
        </w:rPr>
        <w:t>4</w:t>
      </w:r>
      <w:r w:rsidRPr="000B5050">
        <w:rPr>
          <w:sz w:val="22"/>
          <w:szCs w:val="22"/>
          <w:lang w:val="uk-UA"/>
        </w:rPr>
        <w:t>.</w:t>
      </w:r>
    </w:p>
    <w:p w14:paraId="1CBFB859" w14:textId="4A32834D" w:rsidR="00CF11EE" w:rsidRPr="000B5050" w:rsidRDefault="00CF11EE" w:rsidP="006050B9">
      <w:pPr>
        <w:spacing w:line="276" w:lineRule="auto"/>
        <w:jc w:val="both"/>
        <w:rPr>
          <w:sz w:val="22"/>
          <w:szCs w:val="22"/>
          <w:lang w:val="uk-UA"/>
        </w:rPr>
      </w:pPr>
      <w:r w:rsidRPr="000B5050">
        <w:rPr>
          <w:b/>
          <w:sz w:val="22"/>
          <w:szCs w:val="22"/>
          <w:lang w:val="uk-UA"/>
        </w:rPr>
        <w:t>Ключові слова:</w:t>
      </w:r>
      <w:r w:rsidRPr="000B5050">
        <w:rPr>
          <w:sz w:val="22"/>
          <w:szCs w:val="22"/>
          <w:lang w:val="uk-UA"/>
        </w:rPr>
        <w:t xml:space="preserve"> </w:t>
      </w:r>
      <w:r w:rsidR="003F6B75" w:rsidRPr="000B5050">
        <w:rPr>
          <w:sz w:val="22"/>
          <w:szCs w:val="22"/>
          <w:lang w:val="uk-UA"/>
        </w:rPr>
        <w:t xml:space="preserve">відновлювана енергетика, відновлювані джерела енергії, біомаса, </w:t>
      </w:r>
      <w:r w:rsidR="007B2227" w:rsidRPr="000B5050">
        <w:rPr>
          <w:sz w:val="22"/>
          <w:szCs w:val="22"/>
          <w:lang w:val="uk-UA"/>
        </w:rPr>
        <w:t>біопалива</w:t>
      </w:r>
      <w:r w:rsidR="007B2227" w:rsidRPr="007B2227">
        <w:rPr>
          <w:sz w:val="22"/>
          <w:szCs w:val="22"/>
          <w:lang w:val="uk-UA"/>
        </w:rPr>
        <w:t>,</w:t>
      </w:r>
      <w:r w:rsidR="007B2227" w:rsidRPr="000B5050">
        <w:rPr>
          <w:sz w:val="22"/>
          <w:szCs w:val="22"/>
          <w:lang w:val="uk-UA"/>
        </w:rPr>
        <w:t xml:space="preserve"> </w:t>
      </w:r>
      <w:r w:rsidR="003F6B75" w:rsidRPr="000B5050">
        <w:rPr>
          <w:sz w:val="22"/>
          <w:szCs w:val="22"/>
          <w:lang w:val="uk-UA"/>
        </w:rPr>
        <w:t>біогаз</w:t>
      </w:r>
      <w:r w:rsidR="00E32C17" w:rsidRPr="000B5050">
        <w:rPr>
          <w:sz w:val="22"/>
          <w:szCs w:val="22"/>
          <w:lang w:val="uk-UA"/>
        </w:rPr>
        <w:t xml:space="preserve">, </w:t>
      </w:r>
      <w:r w:rsidR="000B5050" w:rsidRPr="000B5050">
        <w:rPr>
          <w:sz w:val="22"/>
          <w:szCs w:val="22"/>
          <w:lang w:val="uk-UA"/>
        </w:rPr>
        <w:t>біоетанол, біодизель</w:t>
      </w:r>
      <w:r w:rsidR="0011275F" w:rsidRPr="000B5050">
        <w:rPr>
          <w:sz w:val="22"/>
          <w:szCs w:val="22"/>
          <w:lang w:val="uk-UA"/>
        </w:rPr>
        <w:t>.</w:t>
      </w:r>
    </w:p>
    <w:p w14:paraId="020FE256" w14:textId="77777777" w:rsidR="00802D7E" w:rsidRPr="00315EB4" w:rsidRDefault="00802D7E" w:rsidP="001900B5">
      <w:pPr>
        <w:widowControl w:val="0"/>
        <w:spacing w:line="360" w:lineRule="auto"/>
        <w:ind w:firstLine="709"/>
        <w:jc w:val="both"/>
        <w:rPr>
          <w:sz w:val="22"/>
          <w:szCs w:val="22"/>
          <w:highlight w:val="yellow"/>
          <w:lang w:val="uk-UA"/>
        </w:rPr>
      </w:pPr>
    </w:p>
    <w:p w14:paraId="366AB2F7" w14:textId="15A0559D" w:rsidR="00B8311B" w:rsidRDefault="00D06E84" w:rsidP="006050B9">
      <w:pPr>
        <w:widowControl w:val="0"/>
        <w:spacing w:line="276" w:lineRule="auto"/>
        <w:jc w:val="both"/>
        <w:rPr>
          <w:bCs/>
          <w:sz w:val="22"/>
          <w:szCs w:val="22"/>
          <w:lang w:val="uk-UA"/>
        </w:rPr>
      </w:pPr>
      <w:r w:rsidRPr="0039520E">
        <w:rPr>
          <w:bCs/>
          <w:sz w:val="22"/>
          <w:szCs w:val="22"/>
          <w:lang w:val="uk-UA"/>
        </w:rPr>
        <w:t>ВДЕ</w:t>
      </w:r>
      <w:r w:rsidR="00B8311B" w:rsidRPr="0039520E">
        <w:rPr>
          <w:bCs/>
          <w:sz w:val="22"/>
          <w:szCs w:val="22"/>
          <w:lang w:val="uk-UA"/>
        </w:rPr>
        <w:t xml:space="preserve"> – </w:t>
      </w:r>
      <w:r w:rsidRPr="0039520E">
        <w:rPr>
          <w:bCs/>
          <w:sz w:val="22"/>
          <w:szCs w:val="22"/>
          <w:lang w:val="uk-UA"/>
        </w:rPr>
        <w:t>відновлювані джерела енергії</w:t>
      </w:r>
      <w:r w:rsidR="00B8311B" w:rsidRPr="0039520E">
        <w:rPr>
          <w:bCs/>
          <w:sz w:val="22"/>
          <w:szCs w:val="22"/>
          <w:lang w:val="uk-UA"/>
        </w:rPr>
        <w:t>;</w:t>
      </w:r>
    </w:p>
    <w:p w14:paraId="0B0512A3" w14:textId="28AC3DAF" w:rsidR="002741A6" w:rsidRPr="00B247E5" w:rsidRDefault="002741A6" w:rsidP="006050B9">
      <w:pPr>
        <w:widowControl w:val="0"/>
        <w:spacing w:line="276" w:lineRule="auto"/>
        <w:jc w:val="both"/>
        <w:rPr>
          <w:bCs/>
          <w:sz w:val="22"/>
          <w:szCs w:val="22"/>
          <w:lang w:val="uk-UA"/>
        </w:rPr>
      </w:pPr>
      <w:r w:rsidRPr="00B247E5">
        <w:rPr>
          <w:bCs/>
          <w:sz w:val="22"/>
          <w:szCs w:val="22"/>
          <w:lang w:val="uk-UA"/>
        </w:rPr>
        <w:t xml:space="preserve">НПДВЕ – </w:t>
      </w:r>
      <w:r w:rsidRPr="00B247E5">
        <w:rPr>
          <w:sz w:val="22"/>
          <w:szCs w:val="22"/>
          <w:shd w:val="clear" w:color="auto" w:fill="FFFFFF"/>
          <w:lang w:val="uk-UA"/>
        </w:rPr>
        <w:t>Національний план дій з відновлюваної енергетики</w:t>
      </w:r>
      <w:r w:rsidR="004D6BDC" w:rsidRPr="00B247E5">
        <w:rPr>
          <w:sz w:val="22"/>
          <w:szCs w:val="22"/>
          <w:shd w:val="clear" w:color="auto" w:fill="FFFFFF"/>
          <w:lang w:val="uk-UA"/>
        </w:rPr>
        <w:t>;</w:t>
      </w:r>
    </w:p>
    <w:p w14:paraId="016318E0" w14:textId="77777777" w:rsidR="0069780D" w:rsidRPr="000D142C" w:rsidRDefault="0069780D" w:rsidP="006050B9">
      <w:pPr>
        <w:widowControl w:val="0"/>
        <w:spacing w:line="276" w:lineRule="auto"/>
        <w:jc w:val="both"/>
        <w:rPr>
          <w:bCs/>
          <w:sz w:val="22"/>
          <w:szCs w:val="22"/>
          <w:lang w:val="uk-UA"/>
        </w:rPr>
      </w:pPr>
      <w:r w:rsidRPr="000D142C">
        <w:rPr>
          <w:bCs/>
          <w:sz w:val="22"/>
          <w:szCs w:val="22"/>
          <w:lang w:val="en-US"/>
        </w:rPr>
        <w:t>HVO</w:t>
      </w:r>
      <w:r w:rsidRPr="000D142C">
        <w:rPr>
          <w:bCs/>
          <w:sz w:val="22"/>
          <w:szCs w:val="22"/>
          <w:lang w:val="uk-UA"/>
        </w:rPr>
        <w:t xml:space="preserve"> – гідрогенізована рослинна олія;</w:t>
      </w:r>
    </w:p>
    <w:p w14:paraId="23F66525" w14:textId="2F74D7A3" w:rsidR="00DE28F4" w:rsidRDefault="00DE28F4" w:rsidP="006050B9">
      <w:pPr>
        <w:widowControl w:val="0"/>
        <w:spacing w:line="276" w:lineRule="auto"/>
        <w:jc w:val="both"/>
        <w:rPr>
          <w:bCs/>
          <w:sz w:val="22"/>
          <w:szCs w:val="22"/>
          <w:lang w:val="uk-UA" w:eastAsia="en-US"/>
        </w:rPr>
      </w:pPr>
      <w:r w:rsidRPr="00DE28F4">
        <w:rPr>
          <w:bCs/>
          <w:sz w:val="22"/>
          <w:szCs w:val="22"/>
          <w:lang w:val="uk-UA" w:eastAsia="en-US"/>
        </w:rPr>
        <w:t>SEK</w:t>
      </w:r>
      <w:r>
        <w:rPr>
          <w:bCs/>
          <w:sz w:val="22"/>
          <w:szCs w:val="22"/>
          <w:lang w:val="uk-UA" w:eastAsia="en-US"/>
        </w:rPr>
        <w:t xml:space="preserve"> – шведська крона</w:t>
      </w:r>
      <w:r w:rsidR="007C633B">
        <w:rPr>
          <w:bCs/>
          <w:sz w:val="22"/>
          <w:szCs w:val="22"/>
          <w:lang w:val="uk-UA" w:eastAsia="en-US"/>
        </w:rPr>
        <w:t>;</w:t>
      </w:r>
    </w:p>
    <w:p w14:paraId="101C79AF" w14:textId="73D16C0D" w:rsidR="007C633B" w:rsidRPr="00315EB4" w:rsidRDefault="007C633B" w:rsidP="006050B9">
      <w:pPr>
        <w:widowControl w:val="0"/>
        <w:spacing w:line="276" w:lineRule="auto"/>
        <w:jc w:val="both"/>
        <w:rPr>
          <w:bCs/>
          <w:sz w:val="22"/>
          <w:szCs w:val="22"/>
          <w:highlight w:val="yellow"/>
          <w:lang w:val="uk-UA"/>
        </w:rPr>
      </w:pPr>
      <w:r>
        <w:rPr>
          <w:bCs/>
          <w:sz w:val="22"/>
          <w:szCs w:val="22"/>
          <w:lang w:val="uk-UA" w:eastAsia="en-US"/>
        </w:rPr>
        <w:t>н.е. – нафтовий еквівалент.</w:t>
      </w:r>
    </w:p>
    <w:p w14:paraId="316E3B9C" w14:textId="77777777" w:rsidR="00396BB9" w:rsidRPr="00315EB4" w:rsidRDefault="00396BB9" w:rsidP="001900B5">
      <w:pPr>
        <w:widowControl w:val="0"/>
        <w:spacing w:line="360" w:lineRule="auto"/>
        <w:ind w:firstLine="709"/>
        <w:jc w:val="both"/>
        <w:rPr>
          <w:sz w:val="22"/>
          <w:szCs w:val="22"/>
          <w:highlight w:val="yellow"/>
          <w:lang w:val="uk-UA"/>
        </w:rPr>
      </w:pPr>
    </w:p>
    <w:p w14:paraId="6CF1AD1B" w14:textId="3583C75C" w:rsidR="00C0568D" w:rsidRPr="00CF2D1D" w:rsidRDefault="00C0568D" w:rsidP="00882689">
      <w:pPr>
        <w:widowControl w:val="0"/>
        <w:spacing w:line="276" w:lineRule="auto"/>
        <w:ind w:firstLine="709"/>
        <w:jc w:val="both"/>
        <w:rPr>
          <w:sz w:val="22"/>
          <w:szCs w:val="22"/>
          <w:lang w:val="uk-UA"/>
        </w:rPr>
      </w:pPr>
      <w:r w:rsidRPr="00CF2D1D">
        <w:rPr>
          <w:b/>
          <w:i/>
          <w:sz w:val="22"/>
          <w:szCs w:val="22"/>
          <w:lang w:val="uk-UA"/>
        </w:rPr>
        <w:t>Актуальність</w:t>
      </w:r>
      <w:r w:rsidRPr="00CF2D1D">
        <w:rPr>
          <w:sz w:val="22"/>
          <w:szCs w:val="22"/>
          <w:lang w:val="uk-UA"/>
        </w:rPr>
        <w:t xml:space="preserve"> роботи обумовлена </w:t>
      </w:r>
      <w:r w:rsidR="00514F81" w:rsidRPr="00CF2D1D">
        <w:rPr>
          <w:sz w:val="22"/>
          <w:szCs w:val="22"/>
          <w:lang w:val="uk-UA"/>
        </w:rPr>
        <w:t xml:space="preserve">необхідністю </w:t>
      </w:r>
      <w:r w:rsidR="008B1B7E" w:rsidRPr="00CF2D1D">
        <w:rPr>
          <w:sz w:val="22"/>
          <w:szCs w:val="22"/>
          <w:lang w:val="uk-UA"/>
        </w:rPr>
        <w:t xml:space="preserve">декарбонізації енергетики шляхом впровадження відновлюваних джерел енергії як дієвого інструменту </w:t>
      </w:r>
      <w:r w:rsidR="00227C53">
        <w:rPr>
          <w:sz w:val="22"/>
          <w:szCs w:val="22"/>
          <w:lang w:val="uk-UA"/>
        </w:rPr>
        <w:t xml:space="preserve">зменшення </w:t>
      </w:r>
      <w:r w:rsidR="008B1B7E" w:rsidRPr="00CF2D1D">
        <w:rPr>
          <w:sz w:val="22"/>
          <w:szCs w:val="22"/>
          <w:lang w:val="uk-UA"/>
        </w:rPr>
        <w:t xml:space="preserve">споживання викопних палив та </w:t>
      </w:r>
      <w:r w:rsidR="00227C53" w:rsidRPr="00CF2D1D">
        <w:rPr>
          <w:sz w:val="22"/>
          <w:szCs w:val="22"/>
          <w:lang w:val="uk-UA"/>
        </w:rPr>
        <w:t xml:space="preserve">скорочення </w:t>
      </w:r>
      <w:r w:rsidR="008B1B7E" w:rsidRPr="00CF2D1D">
        <w:rPr>
          <w:sz w:val="22"/>
          <w:szCs w:val="22"/>
          <w:lang w:val="uk-UA"/>
        </w:rPr>
        <w:t>викидів парникових газів.</w:t>
      </w:r>
      <w:r w:rsidR="000B5050" w:rsidRPr="00CF2D1D">
        <w:rPr>
          <w:sz w:val="22"/>
          <w:szCs w:val="22"/>
          <w:lang w:val="uk-UA"/>
        </w:rPr>
        <w:t xml:space="preserve"> Сектор транспорту робить значний внесок у викиди парникових газів і при цьому найважче піддається декарбонізації.</w:t>
      </w:r>
      <w:r w:rsidR="0010290A" w:rsidRPr="00CF2D1D">
        <w:rPr>
          <w:sz w:val="22"/>
          <w:szCs w:val="22"/>
          <w:lang w:val="uk-UA"/>
        </w:rPr>
        <w:t xml:space="preserve"> </w:t>
      </w:r>
      <w:r w:rsidRPr="00CF2D1D">
        <w:rPr>
          <w:b/>
          <w:i/>
          <w:sz w:val="22"/>
          <w:szCs w:val="22"/>
          <w:lang w:val="uk-UA"/>
        </w:rPr>
        <w:t>Метою</w:t>
      </w:r>
      <w:r w:rsidRPr="00CF2D1D">
        <w:rPr>
          <w:sz w:val="22"/>
          <w:szCs w:val="22"/>
          <w:lang w:val="uk-UA"/>
        </w:rPr>
        <w:t xml:space="preserve"> роботи є </w:t>
      </w:r>
      <w:r w:rsidR="008B1B7E" w:rsidRPr="00CF2D1D">
        <w:rPr>
          <w:sz w:val="22"/>
          <w:szCs w:val="22"/>
          <w:lang w:val="uk-UA"/>
        </w:rPr>
        <w:t xml:space="preserve">розробка рекомендацій для України щодо </w:t>
      </w:r>
      <w:r w:rsidR="00CF2D1D" w:rsidRPr="00CF2D1D">
        <w:rPr>
          <w:sz w:val="22"/>
          <w:szCs w:val="22"/>
          <w:lang w:val="uk-UA"/>
        </w:rPr>
        <w:t>прискорення залучення біопалив у транспортний сектор</w:t>
      </w:r>
      <w:r w:rsidR="000C4120" w:rsidRPr="00CF2D1D">
        <w:rPr>
          <w:sz w:val="22"/>
          <w:szCs w:val="22"/>
          <w:lang w:val="uk-UA"/>
        </w:rPr>
        <w:t xml:space="preserve">. </w:t>
      </w:r>
      <w:r w:rsidRPr="00CF2D1D">
        <w:rPr>
          <w:b/>
          <w:i/>
          <w:sz w:val="22"/>
          <w:szCs w:val="22"/>
          <w:lang w:val="uk-UA"/>
        </w:rPr>
        <w:t>Методи дослідження</w:t>
      </w:r>
      <w:r w:rsidRPr="00CF2D1D">
        <w:rPr>
          <w:sz w:val="22"/>
          <w:szCs w:val="22"/>
          <w:lang w:val="uk-UA"/>
        </w:rPr>
        <w:t xml:space="preserve"> включають </w:t>
      </w:r>
      <w:r w:rsidR="00521B79" w:rsidRPr="00CF2D1D">
        <w:rPr>
          <w:sz w:val="22"/>
          <w:szCs w:val="22"/>
          <w:lang w:val="uk-UA"/>
        </w:rPr>
        <w:t>вивчення літературних, статистичних та інших даних, аналіз нормативно-правових актів</w:t>
      </w:r>
      <w:r w:rsidRPr="00CF2D1D">
        <w:rPr>
          <w:sz w:val="22"/>
          <w:szCs w:val="22"/>
          <w:lang w:val="uk-UA"/>
        </w:rPr>
        <w:t>.</w:t>
      </w:r>
    </w:p>
    <w:p w14:paraId="680D84AA" w14:textId="64C466CA" w:rsidR="000D07C6" w:rsidRPr="009A5B6D" w:rsidRDefault="00501BFA" w:rsidP="00882689">
      <w:pPr>
        <w:pStyle w:val="1"/>
        <w:spacing w:before="0" w:after="0" w:line="276" w:lineRule="auto"/>
        <w:jc w:val="center"/>
        <w:rPr>
          <w:rFonts w:ascii="Times New Roman" w:hAnsi="Times New Roman"/>
          <w:bCs w:val="0"/>
          <w:i/>
          <w:sz w:val="22"/>
          <w:szCs w:val="22"/>
          <w:lang w:val="uk-UA" w:eastAsia="en-US"/>
        </w:rPr>
      </w:pPr>
      <w:r w:rsidRPr="009A5B6D">
        <w:rPr>
          <w:rFonts w:ascii="Times New Roman" w:hAnsi="Times New Roman"/>
          <w:bCs w:val="0"/>
          <w:i/>
          <w:sz w:val="22"/>
          <w:szCs w:val="22"/>
          <w:lang w:val="uk-UA" w:eastAsia="en-US"/>
        </w:rPr>
        <w:t xml:space="preserve">Стан використання відновлюваних джерел енергії у секторі </w:t>
      </w:r>
      <w:r w:rsidR="00274090" w:rsidRPr="009A5B6D">
        <w:rPr>
          <w:rFonts w:ascii="Times New Roman" w:hAnsi="Times New Roman"/>
          <w:bCs w:val="0"/>
          <w:i/>
          <w:sz w:val="22"/>
          <w:szCs w:val="22"/>
          <w:lang w:val="uk-UA" w:eastAsia="en-US"/>
        </w:rPr>
        <w:t xml:space="preserve">транспорту </w:t>
      </w:r>
      <w:r w:rsidRPr="009A5B6D">
        <w:rPr>
          <w:rFonts w:ascii="Times New Roman" w:hAnsi="Times New Roman"/>
          <w:bCs w:val="0"/>
          <w:i/>
          <w:sz w:val="22"/>
          <w:szCs w:val="22"/>
          <w:lang w:val="uk-UA" w:eastAsia="en-US"/>
        </w:rPr>
        <w:t>ЄС</w:t>
      </w:r>
    </w:p>
    <w:p w14:paraId="5179ED4A" w14:textId="592AC36C" w:rsidR="008837C2" w:rsidRPr="009A5B6D" w:rsidRDefault="00E36592" w:rsidP="00882689">
      <w:pPr>
        <w:widowControl w:val="0"/>
        <w:spacing w:line="276" w:lineRule="auto"/>
        <w:ind w:firstLine="709"/>
        <w:jc w:val="both"/>
        <w:rPr>
          <w:sz w:val="22"/>
          <w:szCs w:val="22"/>
          <w:lang w:val="uk-UA"/>
        </w:rPr>
      </w:pPr>
      <w:r w:rsidRPr="009A5B6D">
        <w:rPr>
          <w:sz w:val="22"/>
          <w:szCs w:val="22"/>
          <w:lang w:val="uk-UA"/>
        </w:rPr>
        <w:t xml:space="preserve">Європейський зелений курс, запроваджений в ЄС в кінці 2019 р., поставив </w:t>
      </w:r>
      <w:r w:rsidR="0016403E" w:rsidRPr="009A5B6D">
        <w:rPr>
          <w:sz w:val="22"/>
          <w:szCs w:val="22"/>
          <w:lang w:val="uk-UA"/>
        </w:rPr>
        <w:t>за</w:t>
      </w:r>
      <w:r w:rsidRPr="009A5B6D">
        <w:rPr>
          <w:sz w:val="22"/>
          <w:szCs w:val="22"/>
          <w:lang w:val="uk-UA"/>
        </w:rPr>
        <w:t xml:space="preserve"> мету досягнення кліматичної нейтральності Європи до 2050 року </w:t>
      </w:r>
      <w:r w:rsidRPr="009A5B6D">
        <w:rPr>
          <w:sz w:val="22"/>
          <w:szCs w:val="22"/>
        </w:rPr>
        <w:t>[1]</w:t>
      </w:r>
      <w:r w:rsidRPr="009A5B6D">
        <w:rPr>
          <w:sz w:val="22"/>
          <w:szCs w:val="22"/>
          <w:lang w:val="uk-UA"/>
        </w:rPr>
        <w:t xml:space="preserve">. </w:t>
      </w:r>
      <w:r w:rsidR="00023787" w:rsidRPr="009A5B6D">
        <w:rPr>
          <w:sz w:val="22"/>
          <w:szCs w:val="22"/>
          <w:lang w:val="uk-UA"/>
        </w:rPr>
        <w:t xml:space="preserve">Можливість виконання цієї </w:t>
      </w:r>
      <w:r w:rsidR="0016403E" w:rsidRPr="009A5B6D">
        <w:rPr>
          <w:sz w:val="22"/>
          <w:szCs w:val="22"/>
          <w:lang w:val="uk-UA"/>
        </w:rPr>
        <w:t>амбітної</w:t>
      </w:r>
      <w:r w:rsidR="00023787" w:rsidRPr="009A5B6D">
        <w:rPr>
          <w:sz w:val="22"/>
          <w:szCs w:val="22"/>
          <w:lang w:val="uk-UA"/>
        </w:rPr>
        <w:t xml:space="preserve"> цілі </w:t>
      </w:r>
      <w:r w:rsidR="0016403E" w:rsidRPr="009A5B6D">
        <w:rPr>
          <w:sz w:val="22"/>
          <w:szCs w:val="22"/>
          <w:lang w:val="uk-UA"/>
        </w:rPr>
        <w:t xml:space="preserve">у великій мірі </w:t>
      </w:r>
      <w:r w:rsidR="00023787" w:rsidRPr="009A5B6D">
        <w:rPr>
          <w:sz w:val="22"/>
          <w:szCs w:val="22"/>
          <w:lang w:val="uk-UA"/>
        </w:rPr>
        <w:t xml:space="preserve">залежить від успішності залучення ВДЕ у всі сектори енергетики, включаючи транспорт. </w:t>
      </w:r>
      <w:r w:rsidR="00697335" w:rsidRPr="009A5B6D">
        <w:rPr>
          <w:sz w:val="22"/>
          <w:szCs w:val="22"/>
          <w:lang w:val="uk-UA"/>
        </w:rPr>
        <w:t xml:space="preserve">У порівнянні з іншими секторами, впровадження ВДЕ на транспорті </w:t>
      </w:r>
      <w:r w:rsidR="00082B2F" w:rsidRPr="009A5B6D">
        <w:rPr>
          <w:sz w:val="22"/>
          <w:szCs w:val="22"/>
          <w:lang w:val="uk-UA"/>
        </w:rPr>
        <w:t xml:space="preserve">зазвичай </w:t>
      </w:r>
      <w:r w:rsidR="00697335" w:rsidRPr="009A5B6D">
        <w:rPr>
          <w:sz w:val="22"/>
          <w:szCs w:val="22"/>
          <w:lang w:val="uk-UA"/>
        </w:rPr>
        <w:t xml:space="preserve">відбувається найповільніше. Так, за даними 2019 р., частка </w:t>
      </w:r>
      <w:r w:rsidR="00082B2F" w:rsidRPr="009A5B6D">
        <w:rPr>
          <w:sz w:val="22"/>
          <w:szCs w:val="22"/>
          <w:lang w:val="uk-UA"/>
        </w:rPr>
        <w:t>відновлюваних джерел</w:t>
      </w:r>
      <w:r w:rsidR="00697335" w:rsidRPr="009A5B6D">
        <w:rPr>
          <w:sz w:val="22"/>
          <w:szCs w:val="22"/>
          <w:lang w:val="uk-UA"/>
        </w:rPr>
        <w:t xml:space="preserve"> у валовому споживанні електроенергії в ЄС склала 34%, тоді як у валовому споживанні енергії на транспорті – лише 9%. З іншого боку, цей показник (9%) свідчить про </w:t>
      </w:r>
      <w:r w:rsidR="001B5891" w:rsidRPr="009A5B6D">
        <w:rPr>
          <w:sz w:val="22"/>
          <w:szCs w:val="22"/>
          <w:lang w:val="uk-UA"/>
        </w:rPr>
        <w:t xml:space="preserve">можливість </w:t>
      </w:r>
      <w:r w:rsidR="00697335" w:rsidRPr="009A5B6D">
        <w:rPr>
          <w:sz w:val="22"/>
          <w:szCs w:val="22"/>
          <w:lang w:val="uk-UA"/>
        </w:rPr>
        <w:t xml:space="preserve">досягнення цілі з ВДЕ на транспорті, поставленої Директивою </w:t>
      </w:r>
      <w:r w:rsidR="00FC0DA4" w:rsidRPr="009A5B6D">
        <w:rPr>
          <w:sz w:val="22"/>
          <w:szCs w:val="22"/>
          <w:lang w:val="uk-UA"/>
        </w:rPr>
        <w:t xml:space="preserve">2009/28/EС </w:t>
      </w:r>
      <w:r w:rsidR="00697335" w:rsidRPr="009A5B6D">
        <w:rPr>
          <w:sz w:val="22"/>
          <w:szCs w:val="22"/>
          <w:lang w:val="uk-UA"/>
        </w:rPr>
        <w:t xml:space="preserve">з відновлюваної енергетики 2009 року </w:t>
      </w:r>
      <w:r w:rsidR="0020408F" w:rsidRPr="009A5B6D">
        <w:rPr>
          <w:sz w:val="22"/>
          <w:szCs w:val="22"/>
          <w:lang w:val="uk-UA"/>
        </w:rPr>
        <w:t>(</w:t>
      </w:r>
      <w:r w:rsidR="00B247E5" w:rsidRPr="009A5B6D">
        <w:rPr>
          <w:sz w:val="22"/>
          <w:szCs w:val="22"/>
          <w:lang w:val="uk-UA"/>
        </w:rPr>
        <w:t xml:space="preserve">Директива </w:t>
      </w:r>
      <w:r w:rsidR="0020408F" w:rsidRPr="009A5B6D">
        <w:rPr>
          <w:sz w:val="22"/>
          <w:szCs w:val="22"/>
          <w:lang w:val="en-US"/>
        </w:rPr>
        <w:t>RED</w:t>
      </w:r>
      <w:r w:rsidR="0020408F" w:rsidRPr="009A5B6D">
        <w:rPr>
          <w:sz w:val="22"/>
          <w:szCs w:val="22"/>
          <w:lang w:val="uk-UA"/>
        </w:rPr>
        <w:t xml:space="preserve">) </w:t>
      </w:r>
      <w:r w:rsidR="00697335" w:rsidRPr="009A5B6D">
        <w:rPr>
          <w:sz w:val="22"/>
          <w:szCs w:val="22"/>
          <w:lang w:val="uk-UA"/>
        </w:rPr>
        <w:t>– 10% у 2020 році</w:t>
      </w:r>
      <w:r w:rsidR="0020408F" w:rsidRPr="009A5B6D">
        <w:rPr>
          <w:sz w:val="22"/>
          <w:szCs w:val="22"/>
          <w:lang w:val="uk-UA"/>
        </w:rPr>
        <w:t xml:space="preserve"> [</w:t>
      </w:r>
      <w:r w:rsidR="00D626E4" w:rsidRPr="009A5B6D">
        <w:rPr>
          <w:sz w:val="22"/>
          <w:szCs w:val="22"/>
          <w:lang w:val="uk-UA"/>
        </w:rPr>
        <w:t>2</w:t>
      </w:r>
      <w:r w:rsidR="0020408F" w:rsidRPr="009A5B6D">
        <w:rPr>
          <w:sz w:val="22"/>
          <w:szCs w:val="22"/>
          <w:lang w:val="uk-UA"/>
        </w:rPr>
        <w:t>]</w:t>
      </w:r>
      <w:r w:rsidR="00697335" w:rsidRPr="009A5B6D">
        <w:rPr>
          <w:sz w:val="22"/>
          <w:szCs w:val="22"/>
          <w:lang w:val="uk-UA"/>
        </w:rPr>
        <w:t xml:space="preserve">. </w:t>
      </w:r>
    </w:p>
    <w:p w14:paraId="427342C1" w14:textId="16FD57C2" w:rsidR="00FB764D" w:rsidRPr="009A5B6D" w:rsidRDefault="003F0106" w:rsidP="00882689">
      <w:pPr>
        <w:widowControl w:val="0"/>
        <w:spacing w:line="276" w:lineRule="auto"/>
        <w:ind w:firstLine="709"/>
        <w:jc w:val="both"/>
        <w:rPr>
          <w:sz w:val="22"/>
          <w:szCs w:val="22"/>
          <w:lang w:val="uk-UA"/>
        </w:rPr>
      </w:pPr>
      <w:r w:rsidRPr="009A5B6D">
        <w:rPr>
          <w:sz w:val="22"/>
          <w:szCs w:val="22"/>
          <w:lang w:val="uk-UA"/>
        </w:rPr>
        <w:t xml:space="preserve">У 2018 році Директиву 2009/28/EС було оновлено з метою посилення вимог до сталості моторних біопалив і </w:t>
      </w:r>
      <w:r w:rsidR="00955502" w:rsidRPr="009A5B6D">
        <w:rPr>
          <w:sz w:val="22"/>
          <w:szCs w:val="22"/>
          <w:lang w:val="uk-UA"/>
        </w:rPr>
        <w:t xml:space="preserve">для </w:t>
      </w:r>
      <w:r w:rsidRPr="009A5B6D">
        <w:rPr>
          <w:sz w:val="22"/>
          <w:szCs w:val="22"/>
          <w:lang w:val="uk-UA"/>
        </w:rPr>
        <w:t xml:space="preserve">встановлення нової цілі по ВДЕ </w:t>
      </w:r>
      <w:r w:rsidR="007C633B" w:rsidRPr="009A5B6D">
        <w:rPr>
          <w:sz w:val="22"/>
          <w:szCs w:val="22"/>
          <w:lang w:val="uk-UA"/>
        </w:rPr>
        <w:t>в галузі</w:t>
      </w:r>
      <w:r w:rsidRPr="009A5B6D">
        <w:rPr>
          <w:sz w:val="22"/>
          <w:szCs w:val="22"/>
          <w:lang w:val="uk-UA"/>
        </w:rPr>
        <w:t xml:space="preserve"> транспорт</w:t>
      </w:r>
      <w:r w:rsidR="007C633B" w:rsidRPr="009A5B6D">
        <w:rPr>
          <w:sz w:val="22"/>
          <w:szCs w:val="22"/>
          <w:lang w:val="uk-UA"/>
        </w:rPr>
        <w:t>у</w:t>
      </w:r>
      <w:r w:rsidRPr="009A5B6D">
        <w:rPr>
          <w:sz w:val="22"/>
          <w:szCs w:val="22"/>
          <w:lang w:val="uk-UA"/>
        </w:rPr>
        <w:t xml:space="preserve"> – 14% у 2030 році </w:t>
      </w:r>
      <w:r w:rsidRPr="009A5B6D">
        <w:rPr>
          <w:sz w:val="22"/>
          <w:szCs w:val="22"/>
        </w:rPr>
        <w:t>(</w:t>
      </w:r>
      <w:r w:rsidR="007C633B" w:rsidRPr="009A5B6D">
        <w:rPr>
          <w:sz w:val="22"/>
          <w:szCs w:val="22"/>
          <w:lang w:val="uk-UA"/>
        </w:rPr>
        <w:t xml:space="preserve">Директива </w:t>
      </w:r>
      <w:r w:rsidRPr="009A5B6D">
        <w:rPr>
          <w:sz w:val="22"/>
          <w:szCs w:val="22"/>
          <w:lang w:val="en-US"/>
        </w:rPr>
        <w:t>RED</w:t>
      </w:r>
      <w:r w:rsidRPr="009A5B6D">
        <w:rPr>
          <w:sz w:val="22"/>
          <w:szCs w:val="22"/>
        </w:rPr>
        <w:t xml:space="preserve"> </w:t>
      </w:r>
      <w:r w:rsidRPr="009A5B6D">
        <w:rPr>
          <w:sz w:val="22"/>
          <w:szCs w:val="22"/>
          <w:lang w:val="en-US"/>
        </w:rPr>
        <w:t>II</w:t>
      </w:r>
      <w:r w:rsidRPr="009A5B6D">
        <w:rPr>
          <w:sz w:val="22"/>
          <w:szCs w:val="22"/>
        </w:rPr>
        <w:t xml:space="preserve">) [3]. </w:t>
      </w:r>
      <w:r w:rsidR="00DA4C60" w:rsidRPr="009A5B6D">
        <w:rPr>
          <w:sz w:val="22"/>
          <w:szCs w:val="22"/>
          <w:lang w:val="uk-UA"/>
        </w:rPr>
        <w:t xml:space="preserve">При цьому частка біопалив другого покоління в кінцевому енергоспоживанні на транспорті має становити принаймні 0,2% у 2022 р., 1% у 2025 р. і 3,5% у 2030 р. </w:t>
      </w:r>
      <w:r w:rsidR="00A8568D" w:rsidRPr="009A5B6D">
        <w:rPr>
          <w:sz w:val="22"/>
          <w:szCs w:val="22"/>
          <w:lang w:val="uk-UA"/>
        </w:rPr>
        <w:t xml:space="preserve">Майбутнє </w:t>
      </w:r>
      <w:r w:rsidR="00A8568D" w:rsidRPr="009A5B6D">
        <w:rPr>
          <w:sz w:val="22"/>
          <w:szCs w:val="22"/>
          <w:lang w:val="uk-UA"/>
        </w:rPr>
        <w:lastRenderedPageBreak/>
        <w:t xml:space="preserve">використання біопалив першого покоління обмежене для кожної країни ЄС величиною споживання цих палив автодорожнім і залізничним транспортом у 2020 р. плюс 1% і, додатково, не може перевищувати 7% кінцевого енергоспоживання </w:t>
      </w:r>
      <w:r w:rsidR="007C633B" w:rsidRPr="009A5B6D">
        <w:rPr>
          <w:sz w:val="22"/>
          <w:szCs w:val="22"/>
          <w:lang w:val="uk-UA"/>
        </w:rPr>
        <w:t xml:space="preserve">певної </w:t>
      </w:r>
      <w:r w:rsidR="00A8568D" w:rsidRPr="009A5B6D">
        <w:rPr>
          <w:sz w:val="22"/>
          <w:szCs w:val="22"/>
          <w:lang w:val="uk-UA"/>
        </w:rPr>
        <w:t>країни.</w:t>
      </w:r>
      <w:r w:rsidR="001E184C" w:rsidRPr="009A5B6D">
        <w:rPr>
          <w:sz w:val="22"/>
          <w:szCs w:val="22"/>
          <w:lang w:val="uk-UA"/>
        </w:rPr>
        <w:t xml:space="preserve"> </w:t>
      </w:r>
      <w:r w:rsidR="00DA4C60" w:rsidRPr="009A5B6D">
        <w:rPr>
          <w:sz w:val="22"/>
          <w:szCs w:val="22"/>
          <w:lang w:val="uk-UA"/>
        </w:rPr>
        <w:t xml:space="preserve">Досягнутий </w:t>
      </w:r>
      <w:r w:rsidR="005F3153" w:rsidRPr="009A5B6D">
        <w:rPr>
          <w:sz w:val="22"/>
          <w:szCs w:val="22"/>
          <w:lang w:val="uk-UA"/>
        </w:rPr>
        <w:t xml:space="preserve">на сьогодні </w:t>
      </w:r>
      <w:r w:rsidR="00DA4C60" w:rsidRPr="009A5B6D">
        <w:rPr>
          <w:sz w:val="22"/>
          <w:szCs w:val="22"/>
          <w:lang w:val="uk-UA"/>
        </w:rPr>
        <w:t>р</w:t>
      </w:r>
      <w:r w:rsidR="00FB764D" w:rsidRPr="009A5B6D">
        <w:rPr>
          <w:sz w:val="22"/>
          <w:szCs w:val="22"/>
          <w:lang w:val="uk-UA"/>
        </w:rPr>
        <w:t xml:space="preserve">іст використання відновлюваної енергії на транспорті </w:t>
      </w:r>
      <w:r w:rsidR="00A8568D" w:rsidRPr="009A5B6D">
        <w:rPr>
          <w:sz w:val="22"/>
          <w:szCs w:val="22"/>
          <w:lang w:val="uk-UA"/>
        </w:rPr>
        <w:t xml:space="preserve">в ЄС </w:t>
      </w:r>
      <w:r w:rsidR="00FB764D" w:rsidRPr="009A5B6D">
        <w:rPr>
          <w:sz w:val="22"/>
          <w:szCs w:val="22"/>
          <w:lang w:val="uk-UA"/>
        </w:rPr>
        <w:t xml:space="preserve">забезпечується, головним чином, за рахунок рідких біопалив, споживання яких складає близько 17 млн т н.е./рік (табл. 1). </w:t>
      </w:r>
      <w:r w:rsidR="000178C8" w:rsidRPr="009A5B6D">
        <w:rPr>
          <w:sz w:val="22"/>
          <w:szCs w:val="22"/>
          <w:lang w:val="uk-UA"/>
        </w:rPr>
        <w:t>Майже все біопаливо спожива</w:t>
      </w:r>
      <w:r w:rsidR="001E184C" w:rsidRPr="009A5B6D">
        <w:rPr>
          <w:sz w:val="22"/>
          <w:szCs w:val="22"/>
          <w:lang w:val="uk-UA"/>
        </w:rPr>
        <w:t>ється автодорожнім транспортом.</w:t>
      </w:r>
    </w:p>
    <w:p w14:paraId="54F1F1EB" w14:textId="5B5F76B0" w:rsidR="00FB764D" w:rsidRPr="009A5B6D" w:rsidRDefault="00FB764D" w:rsidP="00882689">
      <w:pPr>
        <w:widowControl w:val="0"/>
        <w:spacing w:line="276" w:lineRule="auto"/>
        <w:ind w:firstLine="709"/>
        <w:jc w:val="both"/>
        <w:rPr>
          <w:bCs/>
          <w:sz w:val="22"/>
          <w:szCs w:val="22"/>
          <w:lang w:val="uk-UA" w:eastAsia="en-US"/>
        </w:rPr>
      </w:pPr>
    </w:p>
    <w:p w14:paraId="3F9E46BF" w14:textId="0E13472D" w:rsidR="00FB764D" w:rsidRPr="009A5B6D" w:rsidRDefault="00FB764D" w:rsidP="00FB764D">
      <w:pPr>
        <w:widowControl w:val="0"/>
        <w:spacing w:line="360" w:lineRule="auto"/>
        <w:jc w:val="both"/>
        <w:rPr>
          <w:sz w:val="22"/>
          <w:szCs w:val="22"/>
          <w:lang w:val="uk-UA"/>
        </w:rPr>
      </w:pPr>
      <w:r w:rsidRPr="009A5B6D">
        <w:rPr>
          <w:sz w:val="22"/>
          <w:szCs w:val="22"/>
          <w:lang w:val="uk-UA"/>
        </w:rPr>
        <w:t xml:space="preserve">Табл. 1. Кінцеве споживання енергії у секторі транспорту ЄС-28, </w:t>
      </w:r>
      <w:r w:rsidR="009708E1" w:rsidRPr="009A5B6D">
        <w:rPr>
          <w:sz w:val="22"/>
          <w:szCs w:val="22"/>
          <w:lang w:val="uk-UA"/>
        </w:rPr>
        <w:t>тис.</w:t>
      </w:r>
      <w:r w:rsidR="000C715D" w:rsidRPr="009A5B6D">
        <w:rPr>
          <w:sz w:val="22"/>
          <w:szCs w:val="22"/>
          <w:lang w:val="uk-UA"/>
        </w:rPr>
        <w:t xml:space="preserve"> т н.е. (</w:t>
      </w:r>
      <w:r w:rsidRPr="009A5B6D">
        <w:rPr>
          <w:sz w:val="22"/>
          <w:szCs w:val="22"/>
          <w:lang w:val="uk-UA"/>
        </w:rPr>
        <w:t>2018 р</w:t>
      </w:r>
      <w:r w:rsidR="0074487A">
        <w:rPr>
          <w:sz w:val="22"/>
          <w:szCs w:val="22"/>
        </w:rPr>
        <w:t>.</w:t>
      </w:r>
      <w:r w:rsidR="000C715D" w:rsidRPr="009A5B6D">
        <w:rPr>
          <w:sz w:val="22"/>
          <w:szCs w:val="22"/>
          <w:lang w:val="uk-UA"/>
        </w:rPr>
        <w:t>)</w:t>
      </w:r>
      <w:r w:rsidR="00E30C50">
        <w:rPr>
          <w:sz w:val="22"/>
          <w:szCs w:val="22"/>
          <w:lang w:val="uk-UA"/>
        </w:rPr>
        <w:t xml:space="preserve"> [4]</w:t>
      </w:r>
    </w:p>
    <w:tbl>
      <w:tblPr>
        <w:tblStyle w:val="a3"/>
        <w:tblW w:w="0" w:type="auto"/>
        <w:tblLook w:val="04A0" w:firstRow="1" w:lastRow="0" w:firstColumn="1" w:lastColumn="0" w:noHBand="0" w:noVBand="1"/>
      </w:tblPr>
      <w:tblGrid>
        <w:gridCol w:w="2296"/>
        <w:gridCol w:w="838"/>
        <w:gridCol w:w="1313"/>
        <w:gridCol w:w="925"/>
        <w:gridCol w:w="1134"/>
        <w:gridCol w:w="1005"/>
        <w:gridCol w:w="1116"/>
        <w:gridCol w:w="1000"/>
      </w:tblGrid>
      <w:tr w:rsidR="001C3545" w:rsidRPr="009A5B6D" w14:paraId="6C572639" w14:textId="77777777" w:rsidTr="00141CC5">
        <w:tc>
          <w:tcPr>
            <w:tcW w:w="2296" w:type="dxa"/>
            <w:vAlign w:val="center"/>
          </w:tcPr>
          <w:p w14:paraId="279FEEA4" w14:textId="3F3ECBA3" w:rsidR="000C715D" w:rsidRPr="009A5B6D" w:rsidRDefault="006F1E2E" w:rsidP="00141CC5">
            <w:pPr>
              <w:widowControl w:val="0"/>
              <w:spacing w:line="288" w:lineRule="auto"/>
              <w:ind w:left="-57" w:right="-57"/>
              <w:jc w:val="center"/>
              <w:rPr>
                <w:bCs/>
                <w:lang w:val="uk-UA" w:eastAsia="en-US"/>
              </w:rPr>
            </w:pPr>
            <w:r w:rsidRPr="009A5B6D">
              <w:rPr>
                <w:bCs/>
                <w:lang w:val="uk-UA" w:eastAsia="en-US"/>
              </w:rPr>
              <w:t>Види транспорту</w:t>
            </w:r>
          </w:p>
        </w:tc>
        <w:tc>
          <w:tcPr>
            <w:tcW w:w="838" w:type="dxa"/>
            <w:vAlign w:val="center"/>
          </w:tcPr>
          <w:p w14:paraId="3D92CBBE" w14:textId="520B622B" w:rsidR="000C715D" w:rsidRPr="009A5B6D" w:rsidRDefault="00A94EFF" w:rsidP="00141CC5">
            <w:pPr>
              <w:widowControl w:val="0"/>
              <w:spacing w:line="288" w:lineRule="auto"/>
              <w:ind w:left="-57" w:right="-57"/>
              <w:jc w:val="center"/>
              <w:rPr>
                <w:bCs/>
                <w:lang w:val="uk-UA" w:eastAsia="en-US"/>
              </w:rPr>
            </w:pPr>
            <w:r w:rsidRPr="009A5B6D">
              <w:rPr>
                <w:bCs/>
                <w:lang w:val="uk-UA" w:eastAsia="en-US"/>
              </w:rPr>
              <w:t>Всього</w:t>
            </w:r>
          </w:p>
        </w:tc>
        <w:tc>
          <w:tcPr>
            <w:tcW w:w="1313" w:type="dxa"/>
            <w:vAlign w:val="center"/>
          </w:tcPr>
          <w:p w14:paraId="439EFA69" w14:textId="13F1FBDF" w:rsidR="000C715D" w:rsidRPr="009A5B6D" w:rsidRDefault="001C3545" w:rsidP="00141CC5">
            <w:pPr>
              <w:widowControl w:val="0"/>
              <w:spacing w:line="288" w:lineRule="auto"/>
              <w:ind w:left="-57" w:right="-57"/>
              <w:jc w:val="center"/>
              <w:rPr>
                <w:bCs/>
                <w:lang w:val="uk-UA" w:eastAsia="en-US"/>
              </w:rPr>
            </w:pPr>
            <w:r w:rsidRPr="009A5B6D">
              <w:rPr>
                <w:bCs/>
                <w:lang w:val="uk-UA" w:eastAsia="en-US"/>
              </w:rPr>
              <w:t xml:space="preserve">Ріст протягом 2017-2018 </w:t>
            </w:r>
            <w:r w:rsidR="009708E1" w:rsidRPr="009A5B6D">
              <w:rPr>
                <w:bCs/>
                <w:lang w:val="uk-UA" w:eastAsia="en-US"/>
              </w:rPr>
              <w:t>рр.</w:t>
            </w:r>
          </w:p>
        </w:tc>
        <w:tc>
          <w:tcPr>
            <w:tcW w:w="925" w:type="dxa"/>
            <w:vAlign w:val="center"/>
          </w:tcPr>
          <w:p w14:paraId="44F96570" w14:textId="5467B403" w:rsidR="000C715D" w:rsidRPr="009A5B6D" w:rsidRDefault="001C3545" w:rsidP="00141CC5">
            <w:pPr>
              <w:widowControl w:val="0"/>
              <w:spacing w:line="288" w:lineRule="auto"/>
              <w:ind w:left="-57" w:right="-57"/>
              <w:jc w:val="center"/>
              <w:rPr>
                <w:bCs/>
                <w:lang w:val="uk-UA" w:eastAsia="en-US"/>
              </w:rPr>
            </w:pPr>
            <w:r w:rsidRPr="009A5B6D">
              <w:rPr>
                <w:bCs/>
                <w:lang w:val="uk-UA" w:eastAsia="en-US"/>
              </w:rPr>
              <w:t>Тверді викопні палива</w:t>
            </w:r>
          </w:p>
        </w:tc>
        <w:tc>
          <w:tcPr>
            <w:tcW w:w="1134" w:type="dxa"/>
            <w:vAlign w:val="center"/>
          </w:tcPr>
          <w:p w14:paraId="2EB5449E" w14:textId="08305C90" w:rsidR="000C715D" w:rsidRPr="009A5B6D" w:rsidRDefault="001C3545" w:rsidP="00141CC5">
            <w:pPr>
              <w:widowControl w:val="0"/>
              <w:spacing w:line="288" w:lineRule="auto"/>
              <w:ind w:left="-57" w:right="-57"/>
              <w:jc w:val="center"/>
              <w:rPr>
                <w:bCs/>
                <w:lang w:val="uk-UA" w:eastAsia="en-US"/>
              </w:rPr>
            </w:pPr>
            <w:r w:rsidRPr="009A5B6D">
              <w:rPr>
                <w:bCs/>
                <w:lang w:val="uk-UA" w:eastAsia="en-US"/>
              </w:rPr>
              <w:t>Природний газ</w:t>
            </w:r>
          </w:p>
        </w:tc>
        <w:tc>
          <w:tcPr>
            <w:tcW w:w="1005" w:type="dxa"/>
            <w:vAlign w:val="center"/>
          </w:tcPr>
          <w:p w14:paraId="7B162D73" w14:textId="4F4AAB24" w:rsidR="000C715D" w:rsidRPr="009A5B6D" w:rsidRDefault="001C3545" w:rsidP="00141CC5">
            <w:pPr>
              <w:widowControl w:val="0"/>
              <w:spacing w:line="288" w:lineRule="auto"/>
              <w:ind w:left="-57" w:right="-57"/>
              <w:jc w:val="center"/>
              <w:rPr>
                <w:bCs/>
                <w:lang w:val="uk-UA" w:eastAsia="en-US"/>
              </w:rPr>
            </w:pPr>
            <w:r w:rsidRPr="009A5B6D">
              <w:rPr>
                <w:bCs/>
                <w:lang w:val="uk-UA" w:eastAsia="en-US"/>
              </w:rPr>
              <w:t>Нафта, нафто-продукти</w:t>
            </w:r>
          </w:p>
        </w:tc>
        <w:tc>
          <w:tcPr>
            <w:tcW w:w="1116" w:type="dxa"/>
            <w:vAlign w:val="center"/>
          </w:tcPr>
          <w:p w14:paraId="1CDA7CA1" w14:textId="31E87E1D" w:rsidR="000C715D" w:rsidRPr="009A5B6D" w:rsidRDefault="001C3545" w:rsidP="00141CC5">
            <w:pPr>
              <w:widowControl w:val="0"/>
              <w:spacing w:line="288" w:lineRule="auto"/>
              <w:ind w:left="-57" w:right="-57"/>
              <w:jc w:val="center"/>
              <w:rPr>
                <w:bCs/>
                <w:lang w:val="uk-UA" w:eastAsia="en-US"/>
              </w:rPr>
            </w:pPr>
            <w:r w:rsidRPr="009A5B6D">
              <w:rPr>
                <w:bCs/>
                <w:lang w:val="uk-UA" w:eastAsia="en-US"/>
              </w:rPr>
              <w:t>Біопалива*</w:t>
            </w:r>
          </w:p>
        </w:tc>
        <w:tc>
          <w:tcPr>
            <w:tcW w:w="1000" w:type="dxa"/>
            <w:vAlign w:val="center"/>
          </w:tcPr>
          <w:p w14:paraId="04EBFD0A" w14:textId="48EB6C4A" w:rsidR="000C715D" w:rsidRPr="009A5B6D" w:rsidRDefault="001C3545" w:rsidP="00141CC5">
            <w:pPr>
              <w:widowControl w:val="0"/>
              <w:spacing w:line="288" w:lineRule="auto"/>
              <w:ind w:left="-57" w:right="-57"/>
              <w:jc w:val="center"/>
              <w:rPr>
                <w:bCs/>
                <w:lang w:val="uk-UA" w:eastAsia="en-US"/>
              </w:rPr>
            </w:pPr>
            <w:r w:rsidRPr="009A5B6D">
              <w:rPr>
                <w:bCs/>
                <w:lang w:val="uk-UA" w:eastAsia="en-US"/>
              </w:rPr>
              <w:t>Електро-енергія</w:t>
            </w:r>
          </w:p>
        </w:tc>
      </w:tr>
      <w:tr w:rsidR="001C3545" w:rsidRPr="009A5B6D" w14:paraId="012867D1" w14:textId="77777777" w:rsidTr="009708E1">
        <w:tc>
          <w:tcPr>
            <w:tcW w:w="2296" w:type="dxa"/>
          </w:tcPr>
          <w:p w14:paraId="61A2FD5D" w14:textId="3DA0EB44" w:rsidR="006F1E2E" w:rsidRPr="009A5B6D" w:rsidRDefault="006F1E2E" w:rsidP="006F1E2E">
            <w:pPr>
              <w:widowControl w:val="0"/>
              <w:spacing w:line="288" w:lineRule="auto"/>
              <w:ind w:left="-57" w:right="-57"/>
              <w:jc w:val="center"/>
              <w:rPr>
                <w:bCs/>
                <w:lang w:val="uk-UA" w:eastAsia="en-US"/>
              </w:rPr>
            </w:pPr>
            <w:r w:rsidRPr="009A5B6D">
              <w:rPr>
                <w:bCs/>
                <w:lang w:val="uk-UA" w:eastAsia="en-US"/>
              </w:rPr>
              <w:t>Внутрішній транспорт:</w:t>
            </w:r>
          </w:p>
        </w:tc>
        <w:tc>
          <w:tcPr>
            <w:tcW w:w="838" w:type="dxa"/>
          </w:tcPr>
          <w:p w14:paraId="44DEB47F" w14:textId="399B94F8" w:rsidR="006F1E2E" w:rsidRPr="009A5B6D" w:rsidRDefault="006F1E2E" w:rsidP="009708E1">
            <w:pPr>
              <w:widowControl w:val="0"/>
              <w:spacing w:line="288" w:lineRule="auto"/>
              <w:ind w:left="-57" w:right="-57"/>
              <w:jc w:val="center"/>
              <w:rPr>
                <w:bCs/>
                <w:lang w:val="uk-UA" w:eastAsia="en-US"/>
              </w:rPr>
            </w:pPr>
          </w:p>
        </w:tc>
        <w:tc>
          <w:tcPr>
            <w:tcW w:w="1313" w:type="dxa"/>
          </w:tcPr>
          <w:p w14:paraId="2EBF5291" w14:textId="009A46D2" w:rsidR="006F1E2E" w:rsidRPr="009A5B6D" w:rsidRDefault="006F1E2E" w:rsidP="006F1E2E">
            <w:pPr>
              <w:widowControl w:val="0"/>
              <w:spacing w:line="288" w:lineRule="auto"/>
              <w:ind w:left="-57" w:right="-57"/>
              <w:jc w:val="center"/>
              <w:rPr>
                <w:bCs/>
                <w:lang w:val="uk-UA" w:eastAsia="en-US"/>
              </w:rPr>
            </w:pPr>
          </w:p>
        </w:tc>
        <w:tc>
          <w:tcPr>
            <w:tcW w:w="925" w:type="dxa"/>
          </w:tcPr>
          <w:p w14:paraId="7CCF43C3" w14:textId="4B867744" w:rsidR="006F1E2E" w:rsidRPr="009A5B6D" w:rsidRDefault="006F1E2E" w:rsidP="006F1E2E">
            <w:pPr>
              <w:widowControl w:val="0"/>
              <w:spacing w:line="288" w:lineRule="auto"/>
              <w:ind w:left="-57" w:right="-57"/>
              <w:jc w:val="center"/>
              <w:rPr>
                <w:bCs/>
                <w:lang w:val="uk-UA" w:eastAsia="en-US"/>
              </w:rPr>
            </w:pPr>
          </w:p>
        </w:tc>
        <w:tc>
          <w:tcPr>
            <w:tcW w:w="1134" w:type="dxa"/>
          </w:tcPr>
          <w:p w14:paraId="36678DCC" w14:textId="52275F79" w:rsidR="006F1E2E" w:rsidRPr="009A5B6D" w:rsidRDefault="006F1E2E" w:rsidP="006F1E2E">
            <w:pPr>
              <w:widowControl w:val="0"/>
              <w:spacing w:line="288" w:lineRule="auto"/>
              <w:ind w:left="-57" w:right="-57"/>
              <w:jc w:val="center"/>
              <w:rPr>
                <w:bCs/>
                <w:lang w:val="uk-UA" w:eastAsia="en-US"/>
              </w:rPr>
            </w:pPr>
          </w:p>
        </w:tc>
        <w:tc>
          <w:tcPr>
            <w:tcW w:w="1005" w:type="dxa"/>
          </w:tcPr>
          <w:p w14:paraId="3DB78BA0" w14:textId="305F46AE" w:rsidR="006F1E2E" w:rsidRPr="009A5B6D" w:rsidRDefault="006F1E2E" w:rsidP="006F1E2E">
            <w:pPr>
              <w:widowControl w:val="0"/>
              <w:spacing w:line="288" w:lineRule="auto"/>
              <w:ind w:left="-57" w:right="-57"/>
              <w:jc w:val="center"/>
              <w:rPr>
                <w:bCs/>
                <w:lang w:val="uk-UA" w:eastAsia="en-US"/>
              </w:rPr>
            </w:pPr>
          </w:p>
        </w:tc>
        <w:tc>
          <w:tcPr>
            <w:tcW w:w="1116" w:type="dxa"/>
          </w:tcPr>
          <w:p w14:paraId="45743BA9" w14:textId="0154E198" w:rsidR="006F1E2E" w:rsidRPr="009A5B6D" w:rsidRDefault="006F1E2E" w:rsidP="006F1E2E">
            <w:pPr>
              <w:widowControl w:val="0"/>
              <w:spacing w:line="288" w:lineRule="auto"/>
              <w:ind w:left="-57" w:right="-57"/>
              <w:jc w:val="center"/>
              <w:rPr>
                <w:bCs/>
                <w:lang w:val="uk-UA" w:eastAsia="en-US"/>
              </w:rPr>
            </w:pPr>
          </w:p>
        </w:tc>
        <w:tc>
          <w:tcPr>
            <w:tcW w:w="1000" w:type="dxa"/>
          </w:tcPr>
          <w:p w14:paraId="1721A7A0" w14:textId="12FFFB35" w:rsidR="006F1E2E" w:rsidRPr="009A5B6D" w:rsidRDefault="006F1E2E" w:rsidP="006F1E2E">
            <w:pPr>
              <w:widowControl w:val="0"/>
              <w:spacing w:line="288" w:lineRule="auto"/>
              <w:ind w:left="-57" w:right="-57"/>
              <w:jc w:val="center"/>
              <w:rPr>
                <w:bCs/>
                <w:lang w:val="uk-UA" w:eastAsia="en-US"/>
              </w:rPr>
            </w:pPr>
          </w:p>
        </w:tc>
      </w:tr>
      <w:tr w:rsidR="001C3545" w:rsidRPr="009A5B6D" w14:paraId="07842F74" w14:textId="77777777" w:rsidTr="00141CC5">
        <w:tc>
          <w:tcPr>
            <w:tcW w:w="2296" w:type="dxa"/>
          </w:tcPr>
          <w:p w14:paraId="66623E62" w14:textId="67F92676" w:rsidR="000C715D" w:rsidRPr="009A5B6D" w:rsidRDefault="000C715D" w:rsidP="006F1E2E">
            <w:pPr>
              <w:widowControl w:val="0"/>
              <w:spacing w:line="288" w:lineRule="auto"/>
              <w:ind w:left="-57" w:right="-57"/>
              <w:jc w:val="both"/>
              <w:rPr>
                <w:bCs/>
                <w:lang w:val="uk-UA" w:eastAsia="en-US"/>
              </w:rPr>
            </w:pPr>
            <w:r w:rsidRPr="009A5B6D">
              <w:rPr>
                <w:bCs/>
                <w:lang w:val="uk-UA" w:eastAsia="en-US"/>
              </w:rPr>
              <w:t>Залізничний транспорт</w:t>
            </w:r>
          </w:p>
        </w:tc>
        <w:tc>
          <w:tcPr>
            <w:tcW w:w="838" w:type="dxa"/>
            <w:vAlign w:val="center"/>
          </w:tcPr>
          <w:p w14:paraId="6200222C" w14:textId="7E4F09B1" w:rsidR="000C715D" w:rsidRPr="009A5B6D" w:rsidRDefault="009708E1" w:rsidP="00141CC5">
            <w:pPr>
              <w:widowControl w:val="0"/>
              <w:spacing w:line="288" w:lineRule="auto"/>
              <w:ind w:left="-57" w:right="-57"/>
              <w:jc w:val="center"/>
              <w:rPr>
                <w:bCs/>
                <w:lang w:val="uk-UA" w:eastAsia="en-US"/>
              </w:rPr>
            </w:pPr>
            <w:r w:rsidRPr="009A5B6D">
              <w:rPr>
                <w:bCs/>
                <w:lang w:val="uk-UA" w:eastAsia="en-US"/>
              </w:rPr>
              <w:t>6500</w:t>
            </w:r>
          </w:p>
        </w:tc>
        <w:tc>
          <w:tcPr>
            <w:tcW w:w="1313" w:type="dxa"/>
            <w:vAlign w:val="center"/>
          </w:tcPr>
          <w:p w14:paraId="3A2BD364" w14:textId="3933C85B" w:rsidR="000C715D" w:rsidRPr="009A5B6D" w:rsidRDefault="009708E1" w:rsidP="00141CC5">
            <w:pPr>
              <w:widowControl w:val="0"/>
              <w:spacing w:line="288" w:lineRule="auto"/>
              <w:ind w:left="-57" w:right="-57"/>
              <w:jc w:val="center"/>
              <w:rPr>
                <w:bCs/>
                <w:lang w:val="uk-UA" w:eastAsia="en-US"/>
              </w:rPr>
            </w:pPr>
            <w:r w:rsidRPr="009A5B6D">
              <w:rPr>
                <w:bCs/>
                <w:lang w:val="uk-UA" w:eastAsia="en-US"/>
              </w:rPr>
              <w:t>-0,6%</w:t>
            </w:r>
          </w:p>
        </w:tc>
        <w:tc>
          <w:tcPr>
            <w:tcW w:w="925" w:type="dxa"/>
            <w:vAlign w:val="center"/>
          </w:tcPr>
          <w:p w14:paraId="3E598243" w14:textId="129A2B0B" w:rsidR="000C715D" w:rsidRPr="009A5B6D" w:rsidRDefault="009708E1" w:rsidP="00141CC5">
            <w:pPr>
              <w:widowControl w:val="0"/>
              <w:spacing w:line="288" w:lineRule="auto"/>
              <w:ind w:left="-57" w:right="-57"/>
              <w:jc w:val="center"/>
              <w:rPr>
                <w:bCs/>
                <w:lang w:val="uk-UA" w:eastAsia="en-US"/>
              </w:rPr>
            </w:pPr>
            <w:r w:rsidRPr="009A5B6D">
              <w:rPr>
                <w:bCs/>
                <w:lang w:val="uk-UA" w:eastAsia="en-US"/>
              </w:rPr>
              <w:t>11</w:t>
            </w:r>
          </w:p>
        </w:tc>
        <w:tc>
          <w:tcPr>
            <w:tcW w:w="1134" w:type="dxa"/>
            <w:vAlign w:val="center"/>
          </w:tcPr>
          <w:p w14:paraId="0AE72381" w14:textId="3F72129F" w:rsidR="000C715D" w:rsidRPr="009A5B6D" w:rsidRDefault="009708E1" w:rsidP="00141CC5">
            <w:pPr>
              <w:widowControl w:val="0"/>
              <w:spacing w:line="288" w:lineRule="auto"/>
              <w:ind w:left="-57" w:right="-57"/>
              <w:jc w:val="center"/>
              <w:rPr>
                <w:bCs/>
                <w:lang w:val="uk-UA" w:eastAsia="en-US"/>
              </w:rPr>
            </w:pPr>
            <w:r w:rsidRPr="009A5B6D">
              <w:rPr>
                <w:bCs/>
                <w:lang w:val="uk-UA" w:eastAsia="en-US"/>
              </w:rPr>
              <w:t>0</w:t>
            </w:r>
          </w:p>
        </w:tc>
        <w:tc>
          <w:tcPr>
            <w:tcW w:w="1005" w:type="dxa"/>
            <w:vAlign w:val="center"/>
          </w:tcPr>
          <w:p w14:paraId="6049B333" w14:textId="16413E7F" w:rsidR="000C715D" w:rsidRPr="009A5B6D" w:rsidRDefault="009708E1" w:rsidP="00141CC5">
            <w:pPr>
              <w:widowControl w:val="0"/>
              <w:spacing w:line="288" w:lineRule="auto"/>
              <w:ind w:left="-57" w:right="-57"/>
              <w:jc w:val="center"/>
              <w:rPr>
                <w:bCs/>
                <w:lang w:val="uk-UA" w:eastAsia="en-US"/>
              </w:rPr>
            </w:pPr>
            <w:r w:rsidRPr="009A5B6D">
              <w:rPr>
                <w:bCs/>
                <w:lang w:val="uk-UA" w:eastAsia="en-US"/>
              </w:rPr>
              <w:t>1877</w:t>
            </w:r>
          </w:p>
        </w:tc>
        <w:tc>
          <w:tcPr>
            <w:tcW w:w="1116" w:type="dxa"/>
            <w:vAlign w:val="center"/>
          </w:tcPr>
          <w:p w14:paraId="066C933B" w14:textId="600754B8" w:rsidR="000C715D" w:rsidRPr="009A5B6D" w:rsidRDefault="009708E1" w:rsidP="00141CC5">
            <w:pPr>
              <w:widowControl w:val="0"/>
              <w:spacing w:line="288" w:lineRule="auto"/>
              <w:ind w:left="-57" w:right="-57"/>
              <w:jc w:val="center"/>
              <w:rPr>
                <w:bCs/>
                <w:lang w:val="uk-UA" w:eastAsia="en-US"/>
              </w:rPr>
            </w:pPr>
            <w:r w:rsidRPr="009A5B6D">
              <w:rPr>
                <w:bCs/>
                <w:lang w:val="uk-UA" w:eastAsia="en-US"/>
              </w:rPr>
              <w:t>26</w:t>
            </w:r>
          </w:p>
        </w:tc>
        <w:tc>
          <w:tcPr>
            <w:tcW w:w="1000" w:type="dxa"/>
            <w:vAlign w:val="center"/>
          </w:tcPr>
          <w:p w14:paraId="0E5900E6" w14:textId="1449F4BB" w:rsidR="000C715D" w:rsidRPr="009A5B6D" w:rsidRDefault="009708E1" w:rsidP="00141CC5">
            <w:pPr>
              <w:widowControl w:val="0"/>
              <w:spacing w:line="288" w:lineRule="auto"/>
              <w:ind w:left="-57" w:right="-57"/>
              <w:jc w:val="center"/>
              <w:rPr>
                <w:bCs/>
                <w:lang w:val="uk-UA" w:eastAsia="en-US"/>
              </w:rPr>
            </w:pPr>
            <w:r w:rsidRPr="009A5B6D">
              <w:rPr>
                <w:bCs/>
                <w:lang w:val="uk-UA" w:eastAsia="en-US"/>
              </w:rPr>
              <w:t>4586</w:t>
            </w:r>
          </w:p>
        </w:tc>
      </w:tr>
      <w:tr w:rsidR="001C3545" w:rsidRPr="009A5B6D" w14:paraId="469A7A8A" w14:textId="77777777" w:rsidTr="00141CC5">
        <w:tc>
          <w:tcPr>
            <w:tcW w:w="2296" w:type="dxa"/>
          </w:tcPr>
          <w:p w14:paraId="751D3BF2" w14:textId="769DE759" w:rsidR="000C715D" w:rsidRPr="009A5B6D" w:rsidRDefault="000C715D" w:rsidP="009708E1">
            <w:pPr>
              <w:widowControl w:val="0"/>
              <w:spacing w:line="288" w:lineRule="auto"/>
              <w:ind w:left="-57" w:right="-57"/>
              <w:jc w:val="both"/>
              <w:rPr>
                <w:bCs/>
                <w:lang w:val="uk-UA" w:eastAsia="en-US"/>
              </w:rPr>
            </w:pPr>
            <w:r w:rsidRPr="009A5B6D">
              <w:rPr>
                <w:bCs/>
                <w:lang w:val="uk-UA" w:eastAsia="en-US"/>
              </w:rPr>
              <w:t>Авто</w:t>
            </w:r>
            <w:r w:rsidR="009708E1" w:rsidRPr="009A5B6D">
              <w:rPr>
                <w:bCs/>
                <w:lang w:val="uk-UA" w:eastAsia="en-US"/>
              </w:rPr>
              <w:t>дорожній</w:t>
            </w:r>
            <w:r w:rsidRPr="009A5B6D">
              <w:rPr>
                <w:bCs/>
                <w:lang w:val="uk-UA" w:eastAsia="en-US"/>
              </w:rPr>
              <w:t xml:space="preserve"> транспорт</w:t>
            </w:r>
          </w:p>
        </w:tc>
        <w:tc>
          <w:tcPr>
            <w:tcW w:w="838" w:type="dxa"/>
            <w:vAlign w:val="center"/>
          </w:tcPr>
          <w:p w14:paraId="7D91A5B3" w14:textId="6A7D7C34" w:rsidR="000C715D" w:rsidRPr="009A5B6D" w:rsidRDefault="009708E1" w:rsidP="00141CC5">
            <w:pPr>
              <w:widowControl w:val="0"/>
              <w:spacing w:line="288" w:lineRule="auto"/>
              <w:ind w:left="-57" w:right="-57"/>
              <w:jc w:val="center"/>
              <w:rPr>
                <w:bCs/>
                <w:lang w:val="uk-UA" w:eastAsia="en-US"/>
              </w:rPr>
            </w:pPr>
            <w:r w:rsidRPr="009A5B6D">
              <w:rPr>
                <w:bCs/>
                <w:lang w:val="uk-UA" w:eastAsia="en-US"/>
              </w:rPr>
              <w:t>306676</w:t>
            </w:r>
          </w:p>
        </w:tc>
        <w:tc>
          <w:tcPr>
            <w:tcW w:w="1313" w:type="dxa"/>
            <w:vAlign w:val="center"/>
          </w:tcPr>
          <w:p w14:paraId="578ECEB8" w14:textId="089D41B6" w:rsidR="000C715D" w:rsidRPr="009A5B6D" w:rsidRDefault="009708E1" w:rsidP="00141CC5">
            <w:pPr>
              <w:widowControl w:val="0"/>
              <w:spacing w:line="288" w:lineRule="auto"/>
              <w:ind w:left="-57" w:right="-57"/>
              <w:jc w:val="center"/>
              <w:rPr>
                <w:bCs/>
                <w:lang w:val="uk-UA" w:eastAsia="en-US"/>
              </w:rPr>
            </w:pPr>
            <w:r w:rsidRPr="009A5B6D">
              <w:rPr>
                <w:bCs/>
                <w:lang w:val="uk-UA" w:eastAsia="en-US"/>
              </w:rPr>
              <w:t>0,4</w:t>
            </w:r>
            <w:r w:rsidR="00165E22" w:rsidRPr="009A5B6D">
              <w:rPr>
                <w:bCs/>
                <w:lang w:val="uk-UA" w:eastAsia="en-US"/>
              </w:rPr>
              <w:t>%</w:t>
            </w:r>
          </w:p>
        </w:tc>
        <w:tc>
          <w:tcPr>
            <w:tcW w:w="925" w:type="dxa"/>
            <w:vAlign w:val="center"/>
          </w:tcPr>
          <w:p w14:paraId="1C9D4B14" w14:textId="13EE8A62" w:rsidR="000C715D" w:rsidRPr="009A5B6D" w:rsidRDefault="00165E22"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5955F6C3" w14:textId="413F8BF9" w:rsidR="000C715D" w:rsidRPr="009A5B6D" w:rsidRDefault="00165E22" w:rsidP="00141CC5">
            <w:pPr>
              <w:widowControl w:val="0"/>
              <w:spacing w:line="288" w:lineRule="auto"/>
              <w:ind w:left="-57" w:right="-57"/>
              <w:jc w:val="center"/>
              <w:rPr>
                <w:bCs/>
                <w:lang w:val="uk-UA" w:eastAsia="en-US"/>
              </w:rPr>
            </w:pPr>
            <w:r w:rsidRPr="009A5B6D">
              <w:rPr>
                <w:bCs/>
                <w:lang w:val="uk-UA" w:eastAsia="en-US"/>
              </w:rPr>
              <w:t>1637</w:t>
            </w:r>
          </w:p>
        </w:tc>
        <w:tc>
          <w:tcPr>
            <w:tcW w:w="1005" w:type="dxa"/>
            <w:vAlign w:val="center"/>
          </w:tcPr>
          <w:p w14:paraId="51E86F08" w14:textId="452DDB85" w:rsidR="000C715D" w:rsidRPr="009A5B6D" w:rsidRDefault="00165E22" w:rsidP="00141CC5">
            <w:pPr>
              <w:widowControl w:val="0"/>
              <w:spacing w:line="288" w:lineRule="auto"/>
              <w:ind w:left="-57" w:right="-57"/>
              <w:jc w:val="center"/>
              <w:rPr>
                <w:bCs/>
                <w:lang w:val="uk-UA" w:eastAsia="en-US"/>
              </w:rPr>
            </w:pPr>
            <w:r w:rsidRPr="009A5B6D">
              <w:rPr>
                <w:bCs/>
                <w:lang w:val="uk-UA" w:eastAsia="en-US"/>
              </w:rPr>
              <w:t>288111</w:t>
            </w:r>
          </w:p>
        </w:tc>
        <w:tc>
          <w:tcPr>
            <w:tcW w:w="1116" w:type="dxa"/>
            <w:vAlign w:val="center"/>
          </w:tcPr>
          <w:p w14:paraId="5CF857BA" w14:textId="620865F9" w:rsidR="000C715D" w:rsidRPr="009A5B6D" w:rsidRDefault="00165E22" w:rsidP="00141CC5">
            <w:pPr>
              <w:widowControl w:val="0"/>
              <w:spacing w:line="288" w:lineRule="auto"/>
              <w:ind w:left="-57" w:right="-57"/>
              <w:jc w:val="center"/>
              <w:rPr>
                <w:bCs/>
                <w:lang w:val="uk-UA" w:eastAsia="en-US"/>
              </w:rPr>
            </w:pPr>
            <w:r w:rsidRPr="009A5B6D">
              <w:rPr>
                <w:bCs/>
                <w:lang w:val="uk-UA" w:eastAsia="en-US"/>
              </w:rPr>
              <w:t>16764</w:t>
            </w:r>
          </w:p>
        </w:tc>
        <w:tc>
          <w:tcPr>
            <w:tcW w:w="1000" w:type="dxa"/>
            <w:vAlign w:val="center"/>
          </w:tcPr>
          <w:p w14:paraId="3E4A61E6" w14:textId="773CE3E9" w:rsidR="000C715D" w:rsidRPr="009A5B6D" w:rsidRDefault="00165E22" w:rsidP="00141CC5">
            <w:pPr>
              <w:widowControl w:val="0"/>
              <w:spacing w:line="288" w:lineRule="auto"/>
              <w:ind w:left="-57" w:right="-57"/>
              <w:jc w:val="center"/>
              <w:rPr>
                <w:bCs/>
                <w:lang w:val="uk-UA" w:eastAsia="en-US"/>
              </w:rPr>
            </w:pPr>
            <w:r w:rsidRPr="009A5B6D">
              <w:rPr>
                <w:bCs/>
                <w:lang w:val="uk-UA" w:eastAsia="en-US"/>
              </w:rPr>
              <w:t>164</w:t>
            </w:r>
          </w:p>
        </w:tc>
      </w:tr>
      <w:tr w:rsidR="001C3545" w:rsidRPr="009A5B6D" w14:paraId="7D186CE9" w14:textId="77777777" w:rsidTr="00141CC5">
        <w:tc>
          <w:tcPr>
            <w:tcW w:w="2296" w:type="dxa"/>
          </w:tcPr>
          <w:p w14:paraId="2F5BCCA3" w14:textId="7CCDA811" w:rsidR="000C715D" w:rsidRPr="009A5B6D" w:rsidRDefault="006F1E2E" w:rsidP="006F1E2E">
            <w:pPr>
              <w:widowControl w:val="0"/>
              <w:spacing w:line="288" w:lineRule="auto"/>
              <w:ind w:left="-57" w:right="-57"/>
              <w:jc w:val="both"/>
              <w:rPr>
                <w:bCs/>
                <w:lang w:val="uk-UA" w:eastAsia="en-US"/>
              </w:rPr>
            </w:pPr>
            <w:r w:rsidRPr="009A5B6D">
              <w:rPr>
                <w:bCs/>
                <w:lang w:val="uk-UA" w:eastAsia="en-US"/>
              </w:rPr>
              <w:t xml:space="preserve">Авіація </w:t>
            </w:r>
          </w:p>
        </w:tc>
        <w:tc>
          <w:tcPr>
            <w:tcW w:w="838" w:type="dxa"/>
            <w:vAlign w:val="center"/>
          </w:tcPr>
          <w:p w14:paraId="6FC64E25" w14:textId="6E78FBB7" w:rsidR="000C715D" w:rsidRPr="009A5B6D" w:rsidRDefault="00165E22" w:rsidP="00141CC5">
            <w:pPr>
              <w:widowControl w:val="0"/>
              <w:spacing w:line="288" w:lineRule="auto"/>
              <w:ind w:left="-57" w:right="-57"/>
              <w:jc w:val="center"/>
              <w:rPr>
                <w:bCs/>
                <w:lang w:val="uk-UA" w:eastAsia="en-US"/>
              </w:rPr>
            </w:pPr>
            <w:r w:rsidRPr="009A5B6D">
              <w:rPr>
                <w:bCs/>
                <w:lang w:val="uk-UA" w:eastAsia="en-US"/>
              </w:rPr>
              <w:t>7266</w:t>
            </w:r>
          </w:p>
        </w:tc>
        <w:tc>
          <w:tcPr>
            <w:tcW w:w="1313" w:type="dxa"/>
            <w:vAlign w:val="center"/>
          </w:tcPr>
          <w:p w14:paraId="25B0E5D7" w14:textId="6DF49DE9" w:rsidR="000C715D" w:rsidRPr="009A5B6D" w:rsidRDefault="00165E22" w:rsidP="00141CC5">
            <w:pPr>
              <w:widowControl w:val="0"/>
              <w:spacing w:line="288" w:lineRule="auto"/>
              <w:ind w:left="-57" w:right="-57"/>
              <w:jc w:val="center"/>
              <w:rPr>
                <w:bCs/>
                <w:lang w:val="uk-UA" w:eastAsia="en-US"/>
              </w:rPr>
            </w:pPr>
            <w:r w:rsidRPr="009A5B6D">
              <w:rPr>
                <w:bCs/>
                <w:lang w:val="uk-UA" w:eastAsia="en-US"/>
              </w:rPr>
              <w:t>4,1%</w:t>
            </w:r>
          </w:p>
        </w:tc>
        <w:tc>
          <w:tcPr>
            <w:tcW w:w="925" w:type="dxa"/>
            <w:vAlign w:val="center"/>
          </w:tcPr>
          <w:p w14:paraId="0E6E4173" w14:textId="29CAA372"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36D1922C" w14:textId="2D298E48"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005" w:type="dxa"/>
            <w:vAlign w:val="center"/>
          </w:tcPr>
          <w:p w14:paraId="20E18112" w14:textId="35B3D4BC" w:rsidR="000C715D" w:rsidRPr="009A5B6D" w:rsidRDefault="0064718E" w:rsidP="00141CC5">
            <w:pPr>
              <w:widowControl w:val="0"/>
              <w:spacing w:line="288" w:lineRule="auto"/>
              <w:ind w:left="-57" w:right="-57"/>
              <w:jc w:val="center"/>
              <w:rPr>
                <w:bCs/>
                <w:lang w:val="uk-UA" w:eastAsia="en-US"/>
              </w:rPr>
            </w:pPr>
            <w:r w:rsidRPr="009A5B6D">
              <w:rPr>
                <w:bCs/>
                <w:lang w:val="uk-UA" w:eastAsia="en-US"/>
              </w:rPr>
              <w:t>7266</w:t>
            </w:r>
          </w:p>
        </w:tc>
        <w:tc>
          <w:tcPr>
            <w:tcW w:w="1116" w:type="dxa"/>
            <w:vAlign w:val="center"/>
          </w:tcPr>
          <w:p w14:paraId="06215646" w14:textId="109BD331"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000" w:type="dxa"/>
            <w:vAlign w:val="center"/>
          </w:tcPr>
          <w:p w14:paraId="47F780E3" w14:textId="3B3C96BB"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r>
      <w:tr w:rsidR="001C3545" w:rsidRPr="009A5B6D" w14:paraId="7C591E63" w14:textId="77777777" w:rsidTr="00141CC5">
        <w:tc>
          <w:tcPr>
            <w:tcW w:w="2296" w:type="dxa"/>
          </w:tcPr>
          <w:p w14:paraId="2D172ECA" w14:textId="78B58F64" w:rsidR="000C715D" w:rsidRPr="009A5B6D" w:rsidRDefault="006F1E2E" w:rsidP="006F1E2E">
            <w:pPr>
              <w:widowControl w:val="0"/>
              <w:spacing w:line="288" w:lineRule="auto"/>
              <w:ind w:left="-57" w:right="-57"/>
              <w:jc w:val="both"/>
              <w:rPr>
                <w:bCs/>
                <w:lang w:val="uk-UA" w:eastAsia="en-US"/>
              </w:rPr>
            </w:pPr>
            <w:r w:rsidRPr="009A5B6D">
              <w:rPr>
                <w:bCs/>
                <w:lang w:val="uk-UA" w:eastAsia="en-US"/>
              </w:rPr>
              <w:t xml:space="preserve">Судноплавство </w:t>
            </w:r>
          </w:p>
        </w:tc>
        <w:tc>
          <w:tcPr>
            <w:tcW w:w="838" w:type="dxa"/>
            <w:vAlign w:val="center"/>
          </w:tcPr>
          <w:p w14:paraId="6D6AD6DE" w14:textId="325D9DC8" w:rsidR="000C715D" w:rsidRPr="009A5B6D" w:rsidRDefault="00165E22" w:rsidP="00141CC5">
            <w:pPr>
              <w:widowControl w:val="0"/>
              <w:spacing w:line="288" w:lineRule="auto"/>
              <w:ind w:left="-57" w:right="-57"/>
              <w:jc w:val="center"/>
              <w:rPr>
                <w:bCs/>
                <w:lang w:val="uk-UA" w:eastAsia="en-US"/>
              </w:rPr>
            </w:pPr>
            <w:r w:rsidRPr="009A5B6D">
              <w:rPr>
                <w:bCs/>
                <w:lang w:val="uk-UA" w:eastAsia="en-US"/>
              </w:rPr>
              <w:t>5152</w:t>
            </w:r>
          </w:p>
        </w:tc>
        <w:tc>
          <w:tcPr>
            <w:tcW w:w="1313" w:type="dxa"/>
            <w:vAlign w:val="center"/>
          </w:tcPr>
          <w:p w14:paraId="36C1FA89" w14:textId="5C5AE47C" w:rsidR="000C715D" w:rsidRPr="009A5B6D" w:rsidRDefault="00165E22" w:rsidP="00141CC5">
            <w:pPr>
              <w:widowControl w:val="0"/>
              <w:spacing w:line="288" w:lineRule="auto"/>
              <w:ind w:left="-57" w:right="-57"/>
              <w:jc w:val="center"/>
              <w:rPr>
                <w:bCs/>
                <w:lang w:val="uk-UA" w:eastAsia="en-US"/>
              </w:rPr>
            </w:pPr>
            <w:r w:rsidRPr="009A5B6D">
              <w:rPr>
                <w:bCs/>
                <w:lang w:val="uk-UA" w:eastAsia="en-US"/>
              </w:rPr>
              <w:t>-0,9%</w:t>
            </w:r>
          </w:p>
        </w:tc>
        <w:tc>
          <w:tcPr>
            <w:tcW w:w="925" w:type="dxa"/>
            <w:vAlign w:val="center"/>
          </w:tcPr>
          <w:p w14:paraId="4AB52539" w14:textId="5DED1E76"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2261D22D" w14:textId="2E442DDC"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005" w:type="dxa"/>
            <w:vAlign w:val="center"/>
          </w:tcPr>
          <w:p w14:paraId="1DC8D35A" w14:textId="4EF4F741" w:rsidR="000C715D" w:rsidRPr="009A5B6D" w:rsidRDefault="0064718E" w:rsidP="00141CC5">
            <w:pPr>
              <w:widowControl w:val="0"/>
              <w:spacing w:line="288" w:lineRule="auto"/>
              <w:ind w:left="-57" w:right="-57"/>
              <w:jc w:val="center"/>
              <w:rPr>
                <w:bCs/>
                <w:lang w:val="uk-UA" w:eastAsia="en-US"/>
              </w:rPr>
            </w:pPr>
            <w:r w:rsidRPr="009A5B6D">
              <w:rPr>
                <w:bCs/>
                <w:lang w:val="uk-UA" w:eastAsia="en-US"/>
              </w:rPr>
              <w:t>5145</w:t>
            </w:r>
          </w:p>
        </w:tc>
        <w:tc>
          <w:tcPr>
            <w:tcW w:w="1116" w:type="dxa"/>
            <w:vAlign w:val="center"/>
          </w:tcPr>
          <w:p w14:paraId="3C60F6B7" w14:textId="4501A949" w:rsidR="000C715D" w:rsidRPr="009A5B6D" w:rsidRDefault="0064718E" w:rsidP="00141CC5">
            <w:pPr>
              <w:widowControl w:val="0"/>
              <w:spacing w:line="288" w:lineRule="auto"/>
              <w:ind w:left="-57" w:right="-57"/>
              <w:jc w:val="center"/>
              <w:rPr>
                <w:bCs/>
                <w:lang w:val="uk-UA" w:eastAsia="en-US"/>
              </w:rPr>
            </w:pPr>
            <w:r w:rsidRPr="009A5B6D">
              <w:rPr>
                <w:bCs/>
                <w:lang w:val="uk-UA" w:eastAsia="en-US"/>
              </w:rPr>
              <w:t>7</w:t>
            </w:r>
          </w:p>
        </w:tc>
        <w:tc>
          <w:tcPr>
            <w:tcW w:w="1000" w:type="dxa"/>
            <w:vAlign w:val="center"/>
          </w:tcPr>
          <w:p w14:paraId="6EE5AE35" w14:textId="1E6F5755"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r>
      <w:tr w:rsidR="001C3545" w:rsidRPr="009A5B6D" w14:paraId="0AAF7048" w14:textId="77777777" w:rsidTr="00141CC5">
        <w:tc>
          <w:tcPr>
            <w:tcW w:w="2296" w:type="dxa"/>
          </w:tcPr>
          <w:p w14:paraId="01EFB4FA" w14:textId="57152406" w:rsidR="000C715D" w:rsidRPr="009A5B6D" w:rsidRDefault="006F1E2E" w:rsidP="0074487A">
            <w:pPr>
              <w:widowControl w:val="0"/>
              <w:ind w:left="-57" w:right="-57"/>
              <w:jc w:val="both"/>
              <w:rPr>
                <w:bCs/>
                <w:lang w:val="uk-UA" w:eastAsia="en-US"/>
              </w:rPr>
            </w:pPr>
            <w:r w:rsidRPr="009A5B6D">
              <w:rPr>
                <w:bCs/>
                <w:lang w:val="uk-UA" w:eastAsia="en-US"/>
              </w:rPr>
              <w:t>Трубопровідний транспорт</w:t>
            </w:r>
            <w:r w:rsidR="001C3545" w:rsidRPr="009A5B6D">
              <w:rPr>
                <w:bCs/>
                <w:lang w:val="uk-UA" w:eastAsia="en-US"/>
              </w:rPr>
              <w:t>**</w:t>
            </w:r>
            <w:r w:rsidR="001C7424" w:rsidRPr="009A5B6D">
              <w:rPr>
                <w:bCs/>
                <w:lang w:val="uk-UA" w:eastAsia="en-US"/>
              </w:rPr>
              <w:t xml:space="preserve"> </w:t>
            </w:r>
          </w:p>
        </w:tc>
        <w:tc>
          <w:tcPr>
            <w:tcW w:w="838" w:type="dxa"/>
            <w:vAlign w:val="center"/>
          </w:tcPr>
          <w:p w14:paraId="63FE9BC8" w14:textId="1F8B7116" w:rsidR="000C715D" w:rsidRPr="009A5B6D" w:rsidRDefault="00165E22" w:rsidP="00141CC5">
            <w:pPr>
              <w:widowControl w:val="0"/>
              <w:spacing w:line="288" w:lineRule="auto"/>
              <w:ind w:left="-57" w:right="-57"/>
              <w:jc w:val="center"/>
              <w:rPr>
                <w:bCs/>
                <w:lang w:val="uk-UA" w:eastAsia="en-US"/>
              </w:rPr>
            </w:pPr>
            <w:r w:rsidRPr="009A5B6D">
              <w:rPr>
                <w:bCs/>
                <w:lang w:val="uk-UA" w:eastAsia="en-US"/>
              </w:rPr>
              <w:t>2089</w:t>
            </w:r>
          </w:p>
        </w:tc>
        <w:tc>
          <w:tcPr>
            <w:tcW w:w="1313" w:type="dxa"/>
            <w:vAlign w:val="center"/>
          </w:tcPr>
          <w:p w14:paraId="39AB3401" w14:textId="25FC582B" w:rsidR="000C715D" w:rsidRPr="009A5B6D" w:rsidRDefault="00165E22" w:rsidP="00141CC5">
            <w:pPr>
              <w:widowControl w:val="0"/>
              <w:spacing w:line="288" w:lineRule="auto"/>
              <w:ind w:left="-57" w:right="-57"/>
              <w:jc w:val="center"/>
              <w:rPr>
                <w:bCs/>
                <w:lang w:val="uk-UA" w:eastAsia="en-US"/>
              </w:rPr>
            </w:pPr>
            <w:r w:rsidRPr="009A5B6D">
              <w:rPr>
                <w:bCs/>
                <w:lang w:val="uk-UA" w:eastAsia="en-US"/>
              </w:rPr>
              <w:t>10,0%</w:t>
            </w:r>
          </w:p>
        </w:tc>
        <w:tc>
          <w:tcPr>
            <w:tcW w:w="925" w:type="dxa"/>
            <w:vAlign w:val="center"/>
          </w:tcPr>
          <w:p w14:paraId="77F6EDDD" w14:textId="6CB66ABC"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57103FE1" w14:textId="08A01243" w:rsidR="000C715D" w:rsidRPr="009A5B6D" w:rsidRDefault="0064718E" w:rsidP="00141CC5">
            <w:pPr>
              <w:widowControl w:val="0"/>
              <w:spacing w:line="288" w:lineRule="auto"/>
              <w:ind w:left="-57" w:right="-57"/>
              <w:jc w:val="center"/>
              <w:rPr>
                <w:bCs/>
                <w:lang w:val="uk-UA" w:eastAsia="en-US"/>
              </w:rPr>
            </w:pPr>
            <w:r w:rsidRPr="009A5B6D">
              <w:rPr>
                <w:bCs/>
                <w:lang w:val="uk-UA" w:eastAsia="en-US"/>
              </w:rPr>
              <w:t>1912</w:t>
            </w:r>
          </w:p>
        </w:tc>
        <w:tc>
          <w:tcPr>
            <w:tcW w:w="1005" w:type="dxa"/>
            <w:vAlign w:val="center"/>
          </w:tcPr>
          <w:p w14:paraId="256F79AD" w14:textId="26BE52FB"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116" w:type="dxa"/>
            <w:vAlign w:val="center"/>
          </w:tcPr>
          <w:p w14:paraId="409B9AA5" w14:textId="6BC82EFB" w:rsidR="000C715D" w:rsidRPr="009A5B6D" w:rsidRDefault="0064718E" w:rsidP="00141CC5">
            <w:pPr>
              <w:widowControl w:val="0"/>
              <w:spacing w:line="288" w:lineRule="auto"/>
              <w:ind w:left="-57" w:right="-57"/>
              <w:jc w:val="center"/>
              <w:rPr>
                <w:bCs/>
                <w:lang w:val="uk-UA" w:eastAsia="en-US"/>
              </w:rPr>
            </w:pPr>
            <w:r w:rsidRPr="009A5B6D">
              <w:rPr>
                <w:bCs/>
                <w:lang w:val="uk-UA" w:eastAsia="en-US"/>
              </w:rPr>
              <w:t>0</w:t>
            </w:r>
          </w:p>
        </w:tc>
        <w:tc>
          <w:tcPr>
            <w:tcW w:w="1000" w:type="dxa"/>
            <w:vAlign w:val="center"/>
          </w:tcPr>
          <w:p w14:paraId="2C8879A5" w14:textId="307611BA" w:rsidR="000C715D" w:rsidRPr="009A5B6D" w:rsidRDefault="0064718E" w:rsidP="00141CC5">
            <w:pPr>
              <w:widowControl w:val="0"/>
              <w:spacing w:line="288" w:lineRule="auto"/>
              <w:ind w:left="-57" w:right="-57"/>
              <w:jc w:val="center"/>
              <w:rPr>
                <w:bCs/>
                <w:lang w:val="uk-UA" w:eastAsia="en-US"/>
              </w:rPr>
            </w:pPr>
            <w:r w:rsidRPr="009A5B6D">
              <w:rPr>
                <w:bCs/>
                <w:lang w:val="uk-UA" w:eastAsia="en-US"/>
              </w:rPr>
              <w:t>177</w:t>
            </w:r>
          </w:p>
        </w:tc>
      </w:tr>
      <w:tr w:rsidR="001C3545" w:rsidRPr="009A5B6D" w14:paraId="06903B9F" w14:textId="77777777" w:rsidTr="00141CC5">
        <w:tc>
          <w:tcPr>
            <w:tcW w:w="2296" w:type="dxa"/>
          </w:tcPr>
          <w:p w14:paraId="07733C9F" w14:textId="0EFDFF3E" w:rsidR="000C715D" w:rsidRPr="009A5B6D" w:rsidRDefault="006F1E2E" w:rsidP="006F1E2E">
            <w:pPr>
              <w:widowControl w:val="0"/>
              <w:spacing w:line="288" w:lineRule="auto"/>
              <w:ind w:left="-57" w:right="-57"/>
              <w:jc w:val="both"/>
              <w:rPr>
                <w:bCs/>
                <w:lang w:val="uk-UA" w:eastAsia="en-US"/>
              </w:rPr>
            </w:pPr>
            <w:r w:rsidRPr="009A5B6D">
              <w:rPr>
                <w:bCs/>
                <w:lang w:val="uk-UA" w:eastAsia="en-US"/>
              </w:rPr>
              <w:t>Інше</w:t>
            </w:r>
          </w:p>
        </w:tc>
        <w:tc>
          <w:tcPr>
            <w:tcW w:w="838" w:type="dxa"/>
            <w:vAlign w:val="center"/>
          </w:tcPr>
          <w:p w14:paraId="6AE957A8" w14:textId="437E2D96" w:rsidR="000C715D" w:rsidRPr="009A5B6D" w:rsidRDefault="00165E22" w:rsidP="00141CC5">
            <w:pPr>
              <w:widowControl w:val="0"/>
              <w:spacing w:line="288" w:lineRule="auto"/>
              <w:ind w:left="-57" w:right="-57"/>
              <w:jc w:val="center"/>
              <w:rPr>
                <w:bCs/>
                <w:lang w:val="uk-UA" w:eastAsia="en-US"/>
              </w:rPr>
            </w:pPr>
            <w:r w:rsidRPr="009A5B6D">
              <w:rPr>
                <w:bCs/>
                <w:lang w:val="uk-UA" w:eastAsia="en-US"/>
              </w:rPr>
              <w:t>908</w:t>
            </w:r>
          </w:p>
        </w:tc>
        <w:tc>
          <w:tcPr>
            <w:tcW w:w="1313" w:type="dxa"/>
            <w:vAlign w:val="center"/>
          </w:tcPr>
          <w:p w14:paraId="14D4B534" w14:textId="161DDB9F" w:rsidR="000C715D" w:rsidRPr="009A5B6D" w:rsidRDefault="00165E22" w:rsidP="00141CC5">
            <w:pPr>
              <w:widowControl w:val="0"/>
              <w:spacing w:line="288" w:lineRule="auto"/>
              <w:ind w:left="-57" w:right="-57"/>
              <w:jc w:val="center"/>
              <w:rPr>
                <w:bCs/>
                <w:lang w:val="uk-UA" w:eastAsia="en-US"/>
              </w:rPr>
            </w:pPr>
            <w:r w:rsidRPr="009A5B6D">
              <w:rPr>
                <w:bCs/>
                <w:lang w:val="uk-UA" w:eastAsia="en-US"/>
              </w:rPr>
              <w:t>-1,2%</w:t>
            </w:r>
          </w:p>
        </w:tc>
        <w:tc>
          <w:tcPr>
            <w:tcW w:w="925" w:type="dxa"/>
            <w:vAlign w:val="center"/>
          </w:tcPr>
          <w:p w14:paraId="3F385865" w14:textId="40FB17CC" w:rsidR="000C715D" w:rsidRPr="009A5B6D" w:rsidRDefault="00E441A6"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6FA3DF9F" w14:textId="7FE956CC" w:rsidR="000C715D" w:rsidRPr="009A5B6D" w:rsidRDefault="0064718E" w:rsidP="00141CC5">
            <w:pPr>
              <w:widowControl w:val="0"/>
              <w:spacing w:line="288" w:lineRule="auto"/>
              <w:ind w:left="-57" w:right="-57"/>
              <w:jc w:val="center"/>
              <w:rPr>
                <w:bCs/>
                <w:lang w:val="uk-UA" w:eastAsia="en-US"/>
              </w:rPr>
            </w:pPr>
            <w:r w:rsidRPr="009A5B6D">
              <w:rPr>
                <w:bCs/>
                <w:lang w:val="uk-UA" w:eastAsia="en-US"/>
              </w:rPr>
              <w:t>8</w:t>
            </w:r>
          </w:p>
        </w:tc>
        <w:tc>
          <w:tcPr>
            <w:tcW w:w="1005" w:type="dxa"/>
            <w:vAlign w:val="center"/>
          </w:tcPr>
          <w:p w14:paraId="7CC6DB28" w14:textId="6E821CE8" w:rsidR="000C715D" w:rsidRPr="009A5B6D" w:rsidRDefault="0064718E" w:rsidP="00141CC5">
            <w:pPr>
              <w:widowControl w:val="0"/>
              <w:spacing w:line="288" w:lineRule="auto"/>
              <w:ind w:left="-57" w:right="-57"/>
              <w:jc w:val="center"/>
              <w:rPr>
                <w:bCs/>
                <w:lang w:val="uk-UA" w:eastAsia="en-US"/>
              </w:rPr>
            </w:pPr>
            <w:r w:rsidRPr="009A5B6D">
              <w:rPr>
                <w:bCs/>
                <w:lang w:val="uk-UA" w:eastAsia="en-US"/>
              </w:rPr>
              <w:t>326</w:t>
            </w:r>
          </w:p>
        </w:tc>
        <w:tc>
          <w:tcPr>
            <w:tcW w:w="1116" w:type="dxa"/>
            <w:vAlign w:val="center"/>
          </w:tcPr>
          <w:p w14:paraId="73D28C3B" w14:textId="79BF4EBD" w:rsidR="000C715D" w:rsidRPr="009A5B6D" w:rsidRDefault="0064718E" w:rsidP="00141CC5">
            <w:pPr>
              <w:widowControl w:val="0"/>
              <w:spacing w:line="288" w:lineRule="auto"/>
              <w:ind w:left="-57" w:right="-57"/>
              <w:jc w:val="center"/>
              <w:rPr>
                <w:bCs/>
                <w:lang w:val="uk-UA" w:eastAsia="en-US"/>
              </w:rPr>
            </w:pPr>
            <w:r w:rsidRPr="009A5B6D">
              <w:rPr>
                <w:bCs/>
                <w:lang w:val="uk-UA" w:eastAsia="en-US"/>
              </w:rPr>
              <w:t>6</w:t>
            </w:r>
          </w:p>
        </w:tc>
        <w:tc>
          <w:tcPr>
            <w:tcW w:w="1000" w:type="dxa"/>
            <w:vAlign w:val="center"/>
          </w:tcPr>
          <w:p w14:paraId="6F5AB9A1" w14:textId="3C92C8BD" w:rsidR="000C715D" w:rsidRPr="009A5B6D" w:rsidRDefault="0064718E" w:rsidP="00141CC5">
            <w:pPr>
              <w:widowControl w:val="0"/>
              <w:spacing w:line="288" w:lineRule="auto"/>
              <w:ind w:left="-57" w:right="-57"/>
              <w:jc w:val="center"/>
              <w:rPr>
                <w:bCs/>
                <w:lang w:val="uk-UA" w:eastAsia="en-US"/>
              </w:rPr>
            </w:pPr>
            <w:r w:rsidRPr="009A5B6D">
              <w:rPr>
                <w:bCs/>
                <w:lang w:val="uk-UA" w:eastAsia="en-US"/>
              </w:rPr>
              <w:t>568</w:t>
            </w:r>
          </w:p>
        </w:tc>
      </w:tr>
      <w:tr w:rsidR="009708E1" w:rsidRPr="009A5B6D" w14:paraId="4B673475" w14:textId="77777777" w:rsidTr="00141CC5">
        <w:tc>
          <w:tcPr>
            <w:tcW w:w="2296" w:type="dxa"/>
          </w:tcPr>
          <w:p w14:paraId="664BE60D" w14:textId="43299F56" w:rsidR="009708E1" w:rsidRPr="009A5B6D" w:rsidRDefault="009708E1" w:rsidP="009708E1">
            <w:pPr>
              <w:widowControl w:val="0"/>
              <w:spacing w:line="288" w:lineRule="auto"/>
              <w:ind w:left="-57" w:right="-57"/>
              <w:jc w:val="center"/>
              <w:rPr>
                <w:bCs/>
                <w:lang w:val="uk-UA" w:eastAsia="en-US"/>
              </w:rPr>
            </w:pPr>
            <w:r w:rsidRPr="009A5B6D">
              <w:rPr>
                <w:bCs/>
                <w:lang w:val="uk-UA" w:eastAsia="en-US"/>
              </w:rPr>
              <w:t>Всього</w:t>
            </w:r>
          </w:p>
        </w:tc>
        <w:tc>
          <w:tcPr>
            <w:tcW w:w="838" w:type="dxa"/>
            <w:vAlign w:val="center"/>
          </w:tcPr>
          <w:p w14:paraId="08C56FC5" w14:textId="1D9B5458" w:rsidR="009708E1" w:rsidRPr="009A5B6D" w:rsidRDefault="009708E1" w:rsidP="00141CC5">
            <w:pPr>
              <w:widowControl w:val="0"/>
              <w:spacing w:line="288" w:lineRule="auto"/>
              <w:ind w:left="-57" w:right="-57"/>
              <w:jc w:val="center"/>
              <w:rPr>
                <w:bCs/>
                <w:lang w:val="uk-UA" w:eastAsia="en-US"/>
              </w:rPr>
            </w:pPr>
            <w:r w:rsidRPr="009A5B6D">
              <w:rPr>
                <w:bCs/>
                <w:lang w:val="uk-UA" w:eastAsia="en-US"/>
              </w:rPr>
              <w:t>328591</w:t>
            </w:r>
          </w:p>
        </w:tc>
        <w:tc>
          <w:tcPr>
            <w:tcW w:w="1313" w:type="dxa"/>
            <w:vAlign w:val="center"/>
          </w:tcPr>
          <w:p w14:paraId="195D9363" w14:textId="6AFF63D8" w:rsidR="009708E1" w:rsidRPr="009A5B6D" w:rsidRDefault="009708E1" w:rsidP="00141CC5">
            <w:pPr>
              <w:widowControl w:val="0"/>
              <w:spacing w:line="288" w:lineRule="auto"/>
              <w:ind w:left="-57" w:right="-57"/>
              <w:jc w:val="center"/>
              <w:rPr>
                <w:bCs/>
                <w:lang w:val="uk-UA" w:eastAsia="en-US"/>
              </w:rPr>
            </w:pPr>
            <w:r w:rsidRPr="009A5B6D">
              <w:rPr>
                <w:bCs/>
                <w:lang w:val="uk-UA" w:eastAsia="en-US"/>
              </w:rPr>
              <w:t>0,5%</w:t>
            </w:r>
          </w:p>
        </w:tc>
        <w:tc>
          <w:tcPr>
            <w:tcW w:w="925" w:type="dxa"/>
            <w:vAlign w:val="center"/>
          </w:tcPr>
          <w:p w14:paraId="35EC06FF" w14:textId="62A6584B" w:rsidR="009708E1" w:rsidRPr="009A5B6D" w:rsidRDefault="009708E1" w:rsidP="00141CC5">
            <w:pPr>
              <w:widowControl w:val="0"/>
              <w:spacing w:line="288" w:lineRule="auto"/>
              <w:ind w:left="-57" w:right="-57"/>
              <w:jc w:val="center"/>
              <w:rPr>
                <w:bCs/>
                <w:lang w:val="uk-UA" w:eastAsia="en-US"/>
              </w:rPr>
            </w:pPr>
            <w:r w:rsidRPr="009A5B6D">
              <w:rPr>
                <w:bCs/>
                <w:lang w:val="uk-UA" w:eastAsia="en-US"/>
              </w:rPr>
              <w:t>11</w:t>
            </w:r>
          </w:p>
        </w:tc>
        <w:tc>
          <w:tcPr>
            <w:tcW w:w="1134" w:type="dxa"/>
            <w:vAlign w:val="center"/>
          </w:tcPr>
          <w:p w14:paraId="3AD529CC" w14:textId="229614C8" w:rsidR="009708E1" w:rsidRPr="009A5B6D" w:rsidRDefault="009708E1" w:rsidP="00141CC5">
            <w:pPr>
              <w:widowControl w:val="0"/>
              <w:spacing w:line="288" w:lineRule="auto"/>
              <w:ind w:left="-57" w:right="-57"/>
              <w:jc w:val="center"/>
              <w:rPr>
                <w:bCs/>
                <w:lang w:val="uk-UA" w:eastAsia="en-US"/>
              </w:rPr>
            </w:pPr>
            <w:r w:rsidRPr="009A5B6D">
              <w:rPr>
                <w:bCs/>
                <w:lang w:val="uk-UA" w:eastAsia="en-US"/>
              </w:rPr>
              <w:t>3557</w:t>
            </w:r>
          </w:p>
        </w:tc>
        <w:tc>
          <w:tcPr>
            <w:tcW w:w="1005" w:type="dxa"/>
            <w:vAlign w:val="center"/>
          </w:tcPr>
          <w:p w14:paraId="1EB143B0" w14:textId="72A806D5" w:rsidR="009708E1" w:rsidRPr="009A5B6D" w:rsidRDefault="009708E1" w:rsidP="00141CC5">
            <w:pPr>
              <w:widowControl w:val="0"/>
              <w:spacing w:line="288" w:lineRule="auto"/>
              <w:ind w:left="-57" w:right="-57"/>
              <w:jc w:val="center"/>
              <w:rPr>
                <w:bCs/>
                <w:lang w:val="uk-UA" w:eastAsia="en-US"/>
              </w:rPr>
            </w:pPr>
            <w:r w:rsidRPr="009A5B6D">
              <w:rPr>
                <w:bCs/>
                <w:lang w:val="uk-UA" w:eastAsia="en-US"/>
              </w:rPr>
              <w:t>302725</w:t>
            </w:r>
          </w:p>
        </w:tc>
        <w:tc>
          <w:tcPr>
            <w:tcW w:w="1116" w:type="dxa"/>
            <w:vAlign w:val="center"/>
          </w:tcPr>
          <w:p w14:paraId="117E82D8" w14:textId="331B12D7" w:rsidR="009708E1" w:rsidRPr="009A5B6D" w:rsidRDefault="009708E1" w:rsidP="00141CC5">
            <w:pPr>
              <w:widowControl w:val="0"/>
              <w:spacing w:line="288" w:lineRule="auto"/>
              <w:ind w:left="-57" w:right="-57"/>
              <w:jc w:val="center"/>
              <w:rPr>
                <w:bCs/>
                <w:lang w:val="uk-UA" w:eastAsia="en-US"/>
              </w:rPr>
            </w:pPr>
            <w:r w:rsidRPr="009A5B6D">
              <w:rPr>
                <w:bCs/>
                <w:lang w:val="uk-UA" w:eastAsia="en-US"/>
              </w:rPr>
              <w:t>16803</w:t>
            </w:r>
          </w:p>
        </w:tc>
        <w:tc>
          <w:tcPr>
            <w:tcW w:w="1000" w:type="dxa"/>
            <w:vAlign w:val="center"/>
          </w:tcPr>
          <w:p w14:paraId="3D6E4C05" w14:textId="30AE8684" w:rsidR="009708E1" w:rsidRPr="009A5B6D" w:rsidRDefault="009708E1" w:rsidP="00141CC5">
            <w:pPr>
              <w:widowControl w:val="0"/>
              <w:spacing w:line="288" w:lineRule="auto"/>
              <w:ind w:left="-57" w:right="-57"/>
              <w:jc w:val="center"/>
              <w:rPr>
                <w:bCs/>
                <w:lang w:val="uk-UA" w:eastAsia="en-US"/>
              </w:rPr>
            </w:pPr>
            <w:r w:rsidRPr="009A5B6D">
              <w:rPr>
                <w:bCs/>
                <w:lang w:val="uk-UA" w:eastAsia="en-US"/>
              </w:rPr>
              <w:t>5496</w:t>
            </w:r>
          </w:p>
        </w:tc>
      </w:tr>
      <w:tr w:rsidR="009708E1" w:rsidRPr="009A5B6D" w14:paraId="7DDA802C" w14:textId="77777777" w:rsidTr="00141CC5">
        <w:tc>
          <w:tcPr>
            <w:tcW w:w="2296" w:type="dxa"/>
          </w:tcPr>
          <w:p w14:paraId="515441C6" w14:textId="64AA3560" w:rsidR="009708E1" w:rsidRPr="009A5B6D" w:rsidRDefault="009708E1" w:rsidP="009708E1">
            <w:pPr>
              <w:widowControl w:val="0"/>
              <w:spacing w:line="288" w:lineRule="auto"/>
              <w:ind w:left="-57" w:right="-57"/>
              <w:jc w:val="both"/>
              <w:rPr>
                <w:bCs/>
                <w:lang w:val="uk-UA" w:eastAsia="en-US"/>
              </w:rPr>
            </w:pPr>
            <w:r w:rsidRPr="009A5B6D">
              <w:rPr>
                <w:bCs/>
                <w:lang w:val="uk-UA" w:eastAsia="en-US"/>
              </w:rPr>
              <w:t>Міжнародний транспорт:</w:t>
            </w:r>
          </w:p>
        </w:tc>
        <w:tc>
          <w:tcPr>
            <w:tcW w:w="838" w:type="dxa"/>
            <w:vAlign w:val="center"/>
          </w:tcPr>
          <w:p w14:paraId="286C1788" w14:textId="77777777" w:rsidR="009708E1" w:rsidRPr="009A5B6D" w:rsidRDefault="009708E1" w:rsidP="00141CC5">
            <w:pPr>
              <w:widowControl w:val="0"/>
              <w:spacing w:line="288" w:lineRule="auto"/>
              <w:ind w:left="-57" w:right="-57"/>
              <w:jc w:val="center"/>
              <w:rPr>
                <w:bCs/>
                <w:lang w:val="uk-UA" w:eastAsia="en-US"/>
              </w:rPr>
            </w:pPr>
          </w:p>
        </w:tc>
        <w:tc>
          <w:tcPr>
            <w:tcW w:w="1313" w:type="dxa"/>
            <w:vAlign w:val="center"/>
          </w:tcPr>
          <w:p w14:paraId="55CF84A3" w14:textId="77777777" w:rsidR="009708E1" w:rsidRPr="009A5B6D" w:rsidRDefault="009708E1" w:rsidP="00141CC5">
            <w:pPr>
              <w:widowControl w:val="0"/>
              <w:spacing w:line="288" w:lineRule="auto"/>
              <w:ind w:left="-57" w:right="-57"/>
              <w:jc w:val="center"/>
              <w:rPr>
                <w:bCs/>
                <w:lang w:val="uk-UA" w:eastAsia="en-US"/>
              </w:rPr>
            </w:pPr>
          </w:p>
        </w:tc>
        <w:tc>
          <w:tcPr>
            <w:tcW w:w="925" w:type="dxa"/>
            <w:vAlign w:val="center"/>
          </w:tcPr>
          <w:p w14:paraId="15203EF4" w14:textId="77777777" w:rsidR="009708E1" w:rsidRPr="009A5B6D" w:rsidRDefault="009708E1" w:rsidP="00141CC5">
            <w:pPr>
              <w:widowControl w:val="0"/>
              <w:spacing w:line="288" w:lineRule="auto"/>
              <w:ind w:left="-57" w:right="-57"/>
              <w:jc w:val="center"/>
              <w:rPr>
                <w:bCs/>
                <w:lang w:val="uk-UA" w:eastAsia="en-US"/>
              </w:rPr>
            </w:pPr>
          </w:p>
        </w:tc>
        <w:tc>
          <w:tcPr>
            <w:tcW w:w="1134" w:type="dxa"/>
            <w:vAlign w:val="center"/>
          </w:tcPr>
          <w:p w14:paraId="111BD309" w14:textId="77777777" w:rsidR="009708E1" w:rsidRPr="009A5B6D" w:rsidRDefault="009708E1" w:rsidP="00141CC5">
            <w:pPr>
              <w:widowControl w:val="0"/>
              <w:spacing w:line="288" w:lineRule="auto"/>
              <w:ind w:left="-57" w:right="-57"/>
              <w:jc w:val="center"/>
              <w:rPr>
                <w:bCs/>
                <w:lang w:val="uk-UA" w:eastAsia="en-US"/>
              </w:rPr>
            </w:pPr>
          </w:p>
        </w:tc>
        <w:tc>
          <w:tcPr>
            <w:tcW w:w="1005" w:type="dxa"/>
            <w:vAlign w:val="center"/>
          </w:tcPr>
          <w:p w14:paraId="737BC32D" w14:textId="77777777" w:rsidR="009708E1" w:rsidRPr="009A5B6D" w:rsidRDefault="009708E1" w:rsidP="00141CC5">
            <w:pPr>
              <w:widowControl w:val="0"/>
              <w:spacing w:line="288" w:lineRule="auto"/>
              <w:ind w:left="-57" w:right="-57"/>
              <w:jc w:val="center"/>
              <w:rPr>
                <w:bCs/>
                <w:lang w:val="uk-UA" w:eastAsia="en-US"/>
              </w:rPr>
            </w:pPr>
          </w:p>
        </w:tc>
        <w:tc>
          <w:tcPr>
            <w:tcW w:w="1116" w:type="dxa"/>
            <w:vAlign w:val="center"/>
          </w:tcPr>
          <w:p w14:paraId="6DFB9D6A" w14:textId="77777777" w:rsidR="009708E1" w:rsidRPr="009A5B6D" w:rsidRDefault="009708E1" w:rsidP="00141CC5">
            <w:pPr>
              <w:widowControl w:val="0"/>
              <w:spacing w:line="288" w:lineRule="auto"/>
              <w:ind w:left="-57" w:right="-57"/>
              <w:jc w:val="center"/>
              <w:rPr>
                <w:bCs/>
                <w:lang w:val="uk-UA" w:eastAsia="en-US"/>
              </w:rPr>
            </w:pPr>
          </w:p>
        </w:tc>
        <w:tc>
          <w:tcPr>
            <w:tcW w:w="1000" w:type="dxa"/>
            <w:vAlign w:val="center"/>
          </w:tcPr>
          <w:p w14:paraId="68D2E650" w14:textId="77777777" w:rsidR="009708E1" w:rsidRPr="009A5B6D" w:rsidRDefault="009708E1" w:rsidP="00141CC5">
            <w:pPr>
              <w:widowControl w:val="0"/>
              <w:spacing w:line="288" w:lineRule="auto"/>
              <w:ind w:left="-57" w:right="-57"/>
              <w:jc w:val="center"/>
              <w:rPr>
                <w:bCs/>
                <w:lang w:val="uk-UA" w:eastAsia="en-US"/>
              </w:rPr>
            </w:pPr>
          </w:p>
        </w:tc>
      </w:tr>
      <w:tr w:rsidR="009708E1" w:rsidRPr="009A5B6D" w14:paraId="5190C811" w14:textId="77777777" w:rsidTr="00141CC5">
        <w:tc>
          <w:tcPr>
            <w:tcW w:w="2296" w:type="dxa"/>
          </w:tcPr>
          <w:p w14:paraId="42741484" w14:textId="5FBE182B" w:rsidR="009708E1" w:rsidRPr="009A5B6D" w:rsidRDefault="009708E1" w:rsidP="009708E1">
            <w:pPr>
              <w:widowControl w:val="0"/>
              <w:spacing w:line="288" w:lineRule="auto"/>
              <w:ind w:left="-57" w:right="-57"/>
              <w:jc w:val="both"/>
              <w:rPr>
                <w:bCs/>
                <w:lang w:val="uk-UA" w:eastAsia="en-US"/>
              </w:rPr>
            </w:pPr>
            <w:r w:rsidRPr="009A5B6D">
              <w:rPr>
                <w:bCs/>
                <w:lang w:val="uk-UA" w:eastAsia="en-US"/>
              </w:rPr>
              <w:t>Судноплавство</w:t>
            </w:r>
          </w:p>
        </w:tc>
        <w:tc>
          <w:tcPr>
            <w:tcW w:w="838" w:type="dxa"/>
            <w:vAlign w:val="center"/>
          </w:tcPr>
          <w:p w14:paraId="7A43E198" w14:textId="18A9E09B" w:rsidR="009708E1" w:rsidRPr="009A5B6D" w:rsidRDefault="00722F25" w:rsidP="00141CC5">
            <w:pPr>
              <w:widowControl w:val="0"/>
              <w:spacing w:line="288" w:lineRule="auto"/>
              <w:ind w:left="-57" w:right="-57"/>
              <w:jc w:val="center"/>
              <w:rPr>
                <w:bCs/>
                <w:lang w:val="uk-UA" w:eastAsia="en-US"/>
              </w:rPr>
            </w:pPr>
            <w:r w:rsidRPr="009A5B6D">
              <w:rPr>
                <w:bCs/>
                <w:lang w:val="uk-UA" w:eastAsia="en-US"/>
              </w:rPr>
              <w:t>45767</w:t>
            </w:r>
          </w:p>
        </w:tc>
        <w:tc>
          <w:tcPr>
            <w:tcW w:w="1313" w:type="dxa"/>
            <w:vAlign w:val="center"/>
          </w:tcPr>
          <w:p w14:paraId="193275AA" w14:textId="61656DFB" w:rsidR="009708E1" w:rsidRPr="009A5B6D" w:rsidRDefault="00722F25" w:rsidP="00141CC5">
            <w:pPr>
              <w:widowControl w:val="0"/>
              <w:spacing w:line="288" w:lineRule="auto"/>
              <w:ind w:left="-57" w:right="-57"/>
              <w:jc w:val="center"/>
              <w:rPr>
                <w:bCs/>
                <w:lang w:val="uk-UA" w:eastAsia="en-US"/>
              </w:rPr>
            </w:pPr>
            <w:r w:rsidRPr="009A5B6D">
              <w:rPr>
                <w:bCs/>
                <w:lang w:val="uk-UA" w:eastAsia="en-US"/>
              </w:rPr>
              <w:t>3,6%</w:t>
            </w:r>
          </w:p>
        </w:tc>
        <w:tc>
          <w:tcPr>
            <w:tcW w:w="925" w:type="dxa"/>
            <w:vAlign w:val="center"/>
          </w:tcPr>
          <w:p w14:paraId="3FD8AE89" w14:textId="2B3ED8C7"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76AC84F3" w14:textId="50434586" w:rsidR="009708E1" w:rsidRPr="009A5B6D" w:rsidRDefault="00722F25" w:rsidP="00141CC5">
            <w:pPr>
              <w:widowControl w:val="0"/>
              <w:spacing w:line="288" w:lineRule="auto"/>
              <w:ind w:left="-57" w:right="-57"/>
              <w:jc w:val="center"/>
              <w:rPr>
                <w:bCs/>
                <w:lang w:val="uk-UA" w:eastAsia="en-US"/>
              </w:rPr>
            </w:pPr>
            <w:r w:rsidRPr="009A5B6D">
              <w:rPr>
                <w:bCs/>
                <w:lang w:val="uk-UA" w:eastAsia="en-US"/>
              </w:rPr>
              <w:t>43</w:t>
            </w:r>
          </w:p>
        </w:tc>
        <w:tc>
          <w:tcPr>
            <w:tcW w:w="1005" w:type="dxa"/>
            <w:vAlign w:val="center"/>
          </w:tcPr>
          <w:p w14:paraId="53754D8C" w14:textId="046F5482" w:rsidR="009708E1" w:rsidRPr="009A5B6D" w:rsidRDefault="00722F25" w:rsidP="00141CC5">
            <w:pPr>
              <w:widowControl w:val="0"/>
              <w:spacing w:line="288" w:lineRule="auto"/>
              <w:ind w:left="-57" w:right="-57"/>
              <w:jc w:val="center"/>
              <w:rPr>
                <w:bCs/>
                <w:lang w:val="uk-UA" w:eastAsia="en-US"/>
              </w:rPr>
            </w:pPr>
            <w:r w:rsidRPr="009A5B6D">
              <w:rPr>
                <w:bCs/>
                <w:lang w:val="uk-UA" w:eastAsia="en-US"/>
              </w:rPr>
              <w:t>45707</w:t>
            </w:r>
          </w:p>
        </w:tc>
        <w:tc>
          <w:tcPr>
            <w:tcW w:w="1116" w:type="dxa"/>
            <w:vAlign w:val="center"/>
          </w:tcPr>
          <w:p w14:paraId="562CC3A8" w14:textId="129FA69C" w:rsidR="009708E1" w:rsidRPr="009A5B6D" w:rsidRDefault="00722F25" w:rsidP="00141CC5">
            <w:pPr>
              <w:widowControl w:val="0"/>
              <w:spacing w:line="288" w:lineRule="auto"/>
              <w:ind w:left="-57" w:right="-57"/>
              <w:jc w:val="center"/>
              <w:rPr>
                <w:bCs/>
                <w:lang w:val="uk-UA" w:eastAsia="en-US"/>
              </w:rPr>
            </w:pPr>
            <w:r w:rsidRPr="009A5B6D">
              <w:rPr>
                <w:bCs/>
                <w:lang w:val="uk-UA" w:eastAsia="en-US"/>
              </w:rPr>
              <w:t>17</w:t>
            </w:r>
          </w:p>
        </w:tc>
        <w:tc>
          <w:tcPr>
            <w:tcW w:w="1000" w:type="dxa"/>
            <w:vAlign w:val="center"/>
          </w:tcPr>
          <w:p w14:paraId="0E5AEF08" w14:textId="2BD31D89"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r>
      <w:tr w:rsidR="009708E1" w:rsidRPr="009A5B6D" w14:paraId="2339D5D9" w14:textId="77777777" w:rsidTr="00141CC5">
        <w:tc>
          <w:tcPr>
            <w:tcW w:w="2296" w:type="dxa"/>
          </w:tcPr>
          <w:p w14:paraId="0FD2394D" w14:textId="6FE46BD5" w:rsidR="009708E1" w:rsidRPr="009A5B6D" w:rsidRDefault="009708E1" w:rsidP="009708E1">
            <w:pPr>
              <w:widowControl w:val="0"/>
              <w:spacing w:line="288" w:lineRule="auto"/>
              <w:ind w:left="-57" w:right="-57"/>
              <w:jc w:val="both"/>
              <w:rPr>
                <w:bCs/>
                <w:lang w:val="uk-UA" w:eastAsia="en-US"/>
              </w:rPr>
            </w:pPr>
            <w:r w:rsidRPr="009A5B6D">
              <w:rPr>
                <w:bCs/>
                <w:lang w:val="uk-UA" w:eastAsia="en-US"/>
              </w:rPr>
              <w:t>Авіація</w:t>
            </w:r>
          </w:p>
        </w:tc>
        <w:tc>
          <w:tcPr>
            <w:tcW w:w="838" w:type="dxa"/>
            <w:vAlign w:val="center"/>
          </w:tcPr>
          <w:p w14:paraId="0EED0303" w14:textId="34BC62F8" w:rsidR="009708E1" w:rsidRPr="009A5B6D" w:rsidRDefault="00722F25" w:rsidP="00141CC5">
            <w:pPr>
              <w:widowControl w:val="0"/>
              <w:spacing w:line="288" w:lineRule="auto"/>
              <w:ind w:left="-57" w:right="-57"/>
              <w:jc w:val="center"/>
              <w:rPr>
                <w:bCs/>
                <w:lang w:val="uk-UA" w:eastAsia="en-US"/>
              </w:rPr>
            </w:pPr>
            <w:r w:rsidRPr="009A5B6D">
              <w:rPr>
                <w:bCs/>
                <w:lang w:val="uk-UA" w:eastAsia="en-US"/>
              </w:rPr>
              <w:t>52902</w:t>
            </w:r>
          </w:p>
        </w:tc>
        <w:tc>
          <w:tcPr>
            <w:tcW w:w="1313" w:type="dxa"/>
            <w:vAlign w:val="center"/>
          </w:tcPr>
          <w:p w14:paraId="35993ADE" w14:textId="0B392B4D" w:rsidR="009708E1" w:rsidRPr="009A5B6D" w:rsidRDefault="00722F25" w:rsidP="00141CC5">
            <w:pPr>
              <w:widowControl w:val="0"/>
              <w:spacing w:line="288" w:lineRule="auto"/>
              <w:ind w:left="-57" w:right="-57"/>
              <w:jc w:val="center"/>
              <w:rPr>
                <w:bCs/>
                <w:lang w:val="uk-UA" w:eastAsia="en-US"/>
              </w:rPr>
            </w:pPr>
            <w:r w:rsidRPr="009A5B6D">
              <w:rPr>
                <w:bCs/>
                <w:lang w:val="uk-UA" w:eastAsia="en-US"/>
              </w:rPr>
              <w:t>4,2%</w:t>
            </w:r>
          </w:p>
        </w:tc>
        <w:tc>
          <w:tcPr>
            <w:tcW w:w="925" w:type="dxa"/>
            <w:vAlign w:val="center"/>
          </w:tcPr>
          <w:p w14:paraId="52743A01" w14:textId="250F1FCA"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4FE20CA8" w14:textId="3FCF07E9"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c>
          <w:tcPr>
            <w:tcW w:w="1005" w:type="dxa"/>
            <w:vAlign w:val="center"/>
          </w:tcPr>
          <w:p w14:paraId="2E0C7022" w14:textId="14DA37E9" w:rsidR="009708E1" w:rsidRPr="009A5B6D" w:rsidRDefault="00722F25" w:rsidP="00141CC5">
            <w:pPr>
              <w:widowControl w:val="0"/>
              <w:spacing w:line="288" w:lineRule="auto"/>
              <w:ind w:left="-57" w:right="-57"/>
              <w:jc w:val="center"/>
              <w:rPr>
                <w:bCs/>
                <w:lang w:val="uk-UA" w:eastAsia="en-US"/>
              </w:rPr>
            </w:pPr>
            <w:r w:rsidRPr="009A5B6D">
              <w:rPr>
                <w:bCs/>
                <w:lang w:val="uk-UA" w:eastAsia="en-US"/>
              </w:rPr>
              <w:t>52902</w:t>
            </w:r>
          </w:p>
        </w:tc>
        <w:tc>
          <w:tcPr>
            <w:tcW w:w="1116" w:type="dxa"/>
            <w:vAlign w:val="center"/>
          </w:tcPr>
          <w:p w14:paraId="2E369FCB" w14:textId="11C774A8"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c>
          <w:tcPr>
            <w:tcW w:w="1000" w:type="dxa"/>
            <w:vAlign w:val="center"/>
          </w:tcPr>
          <w:p w14:paraId="009D079E" w14:textId="5D20D5B4"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r>
      <w:tr w:rsidR="009708E1" w:rsidRPr="009A5B6D" w14:paraId="087DEC25" w14:textId="77777777" w:rsidTr="00141CC5">
        <w:tc>
          <w:tcPr>
            <w:tcW w:w="2296" w:type="dxa"/>
          </w:tcPr>
          <w:p w14:paraId="1A4E0BD2" w14:textId="32940629" w:rsidR="009708E1" w:rsidRPr="009A5B6D" w:rsidRDefault="009708E1" w:rsidP="009708E1">
            <w:pPr>
              <w:widowControl w:val="0"/>
              <w:spacing w:line="288" w:lineRule="auto"/>
              <w:ind w:left="-57" w:right="-57"/>
              <w:jc w:val="center"/>
              <w:rPr>
                <w:bCs/>
                <w:lang w:val="uk-UA" w:eastAsia="en-US"/>
              </w:rPr>
            </w:pPr>
            <w:r w:rsidRPr="009A5B6D">
              <w:rPr>
                <w:bCs/>
                <w:lang w:val="uk-UA" w:eastAsia="en-US"/>
              </w:rPr>
              <w:t>Всього</w:t>
            </w:r>
          </w:p>
        </w:tc>
        <w:tc>
          <w:tcPr>
            <w:tcW w:w="838" w:type="dxa"/>
            <w:vAlign w:val="center"/>
          </w:tcPr>
          <w:p w14:paraId="3F282C44" w14:textId="34664BA7" w:rsidR="009708E1" w:rsidRPr="009A5B6D" w:rsidRDefault="00722F25" w:rsidP="00141CC5">
            <w:pPr>
              <w:widowControl w:val="0"/>
              <w:spacing w:line="288" w:lineRule="auto"/>
              <w:ind w:left="-57" w:right="-57"/>
              <w:jc w:val="center"/>
              <w:rPr>
                <w:bCs/>
                <w:lang w:val="uk-UA" w:eastAsia="en-US"/>
              </w:rPr>
            </w:pPr>
            <w:r w:rsidRPr="009A5B6D">
              <w:rPr>
                <w:bCs/>
                <w:lang w:val="uk-UA" w:eastAsia="en-US"/>
              </w:rPr>
              <w:t>98669</w:t>
            </w:r>
          </w:p>
        </w:tc>
        <w:tc>
          <w:tcPr>
            <w:tcW w:w="1313" w:type="dxa"/>
            <w:vAlign w:val="center"/>
          </w:tcPr>
          <w:p w14:paraId="0336F04B" w14:textId="5371123E" w:rsidR="009708E1" w:rsidRPr="009A5B6D" w:rsidRDefault="00722F25" w:rsidP="00141CC5">
            <w:pPr>
              <w:widowControl w:val="0"/>
              <w:spacing w:line="288" w:lineRule="auto"/>
              <w:ind w:left="-57" w:right="-57"/>
              <w:jc w:val="center"/>
              <w:rPr>
                <w:bCs/>
                <w:lang w:val="uk-UA" w:eastAsia="en-US"/>
              </w:rPr>
            </w:pPr>
            <w:r w:rsidRPr="009A5B6D">
              <w:rPr>
                <w:bCs/>
                <w:lang w:val="uk-UA" w:eastAsia="en-US"/>
              </w:rPr>
              <w:t>3,9%</w:t>
            </w:r>
          </w:p>
        </w:tc>
        <w:tc>
          <w:tcPr>
            <w:tcW w:w="925" w:type="dxa"/>
            <w:vAlign w:val="center"/>
          </w:tcPr>
          <w:p w14:paraId="6DAD1A93" w14:textId="33D5C6CA"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c>
          <w:tcPr>
            <w:tcW w:w="1134" w:type="dxa"/>
            <w:vAlign w:val="center"/>
          </w:tcPr>
          <w:p w14:paraId="24E1757D" w14:textId="2B380D4C" w:rsidR="009708E1" w:rsidRPr="009A5B6D" w:rsidRDefault="00722F25" w:rsidP="00141CC5">
            <w:pPr>
              <w:widowControl w:val="0"/>
              <w:spacing w:line="288" w:lineRule="auto"/>
              <w:ind w:left="-57" w:right="-57"/>
              <w:jc w:val="center"/>
              <w:rPr>
                <w:bCs/>
                <w:lang w:val="uk-UA" w:eastAsia="en-US"/>
              </w:rPr>
            </w:pPr>
            <w:r w:rsidRPr="009A5B6D">
              <w:rPr>
                <w:bCs/>
                <w:lang w:val="uk-UA" w:eastAsia="en-US"/>
              </w:rPr>
              <w:t>43</w:t>
            </w:r>
          </w:p>
        </w:tc>
        <w:tc>
          <w:tcPr>
            <w:tcW w:w="1005" w:type="dxa"/>
            <w:vAlign w:val="center"/>
          </w:tcPr>
          <w:p w14:paraId="7864FF2B" w14:textId="2062F540" w:rsidR="009708E1" w:rsidRPr="009A5B6D" w:rsidRDefault="00722F25" w:rsidP="00141CC5">
            <w:pPr>
              <w:widowControl w:val="0"/>
              <w:spacing w:line="288" w:lineRule="auto"/>
              <w:ind w:left="-57" w:right="-57"/>
              <w:jc w:val="center"/>
              <w:rPr>
                <w:bCs/>
                <w:lang w:val="uk-UA" w:eastAsia="en-US"/>
              </w:rPr>
            </w:pPr>
            <w:r w:rsidRPr="009A5B6D">
              <w:rPr>
                <w:bCs/>
                <w:lang w:val="uk-UA" w:eastAsia="en-US"/>
              </w:rPr>
              <w:t>98609</w:t>
            </w:r>
          </w:p>
        </w:tc>
        <w:tc>
          <w:tcPr>
            <w:tcW w:w="1116" w:type="dxa"/>
            <w:vAlign w:val="center"/>
          </w:tcPr>
          <w:p w14:paraId="559E0EC1" w14:textId="0F676D86" w:rsidR="009708E1" w:rsidRPr="009A5B6D" w:rsidRDefault="00722F25" w:rsidP="00141CC5">
            <w:pPr>
              <w:widowControl w:val="0"/>
              <w:spacing w:line="288" w:lineRule="auto"/>
              <w:ind w:left="-57" w:right="-57"/>
              <w:jc w:val="center"/>
              <w:rPr>
                <w:bCs/>
                <w:lang w:val="uk-UA" w:eastAsia="en-US"/>
              </w:rPr>
            </w:pPr>
            <w:r w:rsidRPr="009A5B6D">
              <w:rPr>
                <w:bCs/>
                <w:lang w:val="uk-UA" w:eastAsia="en-US"/>
              </w:rPr>
              <w:t>17</w:t>
            </w:r>
          </w:p>
        </w:tc>
        <w:tc>
          <w:tcPr>
            <w:tcW w:w="1000" w:type="dxa"/>
            <w:vAlign w:val="center"/>
          </w:tcPr>
          <w:p w14:paraId="2BA8DEF3" w14:textId="0DE155EB" w:rsidR="009708E1" w:rsidRPr="009A5B6D" w:rsidRDefault="00722F25" w:rsidP="00141CC5">
            <w:pPr>
              <w:widowControl w:val="0"/>
              <w:spacing w:line="288" w:lineRule="auto"/>
              <w:ind w:left="-57" w:right="-57"/>
              <w:jc w:val="center"/>
              <w:rPr>
                <w:bCs/>
                <w:lang w:val="uk-UA" w:eastAsia="en-US"/>
              </w:rPr>
            </w:pPr>
            <w:r w:rsidRPr="009A5B6D">
              <w:rPr>
                <w:bCs/>
                <w:lang w:val="uk-UA" w:eastAsia="en-US"/>
              </w:rPr>
              <w:t>0</w:t>
            </w:r>
          </w:p>
        </w:tc>
      </w:tr>
    </w:tbl>
    <w:p w14:paraId="60DAAB8C" w14:textId="11EE14B6" w:rsidR="00FB764D" w:rsidRPr="009A5B6D" w:rsidRDefault="001C7424" w:rsidP="001C7424">
      <w:pPr>
        <w:widowControl w:val="0"/>
        <w:spacing w:line="288" w:lineRule="auto"/>
        <w:jc w:val="both"/>
        <w:rPr>
          <w:bCs/>
          <w:lang w:val="uk-UA" w:eastAsia="en-US"/>
        </w:rPr>
      </w:pPr>
      <w:r w:rsidRPr="009A5B6D">
        <w:rPr>
          <w:bCs/>
          <w:lang w:val="uk-UA" w:eastAsia="en-US"/>
        </w:rPr>
        <w:t>* Включаючи біогаз (153 тис. т н.е.).</w:t>
      </w:r>
    </w:p>
    <w:p w14:paraId="7BF21A76" w14:textId="301EA536" w:rsidR="001C7424" w:rsidRPr="009A5B6D" w:rsidRDefault="001C7424" w:rsidP="001C7424">
      <w:pPr>
        <w:widowControl w:val="0"/>
        <w:spacing w:line="288" w:lineRule="auto"/>
        <w:jc w:val="both"/>
        <w:rPr>
          <w:bCs/>
          <w:lang w:val="uk-UA" w:eastAsia="en-US"/>
        </w:rPr>
      </w:pPr>
      <w:r w:rsidRPr="009A5B6D">
        <w:rPr>
          <w:bCs/>
          <w:lang w:val="uk-UA" w:eastAsia="en-US"/>
        </w:rPr>
        <w:t>** Без урахування транспортування природного та комунально-побутового газу.</w:t>
      </w:r>
    </w:p>
    <w:p w14:paraId="57B4BA57" w14:textId="7A6944E7" w:rsidR="00B82F67" w:rsidRPr="009A5B6D" w:rsidRDefault="00B82F67" w:rsidP="00FD1381">
      <w:pPr>
        <w:widowControl w:val="0"/>
        <w:spacing w:line="360" w:lineRule="auto"/>
        <w:jc w:val="both"/>
        <w:rPr>
          <w:bCs/>
          <w:sz w:val="22"/>
          <w:szCs w:val="22"/>
          <w:lang w:val="uk-UA" w:eastAsia="en-US"/>
        </w:rPr>
      </w:pPr>
    </w:p>
    <w:p w14:paraId="28859A69" w14:textId="3E60B258" w:rsidR="001E184C" w:rsidRDefault="001E184C" w:rsidP="00882689">
      <w:pPr>
        <w:widowControl w:val="0"/>
        <w:spacing w:line="276" w:lineRule="auto"/>
        <w:ind w:firstLine="709"/>
        <w:jc w:val="both"/>
        <w:rPr>
          <w:sz w:val="22"/>
          <w:szCs w:val="22"/>
          <w:lang w:val="uk-UA"/>
        </w:rPr>
      </w:pPr>
      <w:r w:rsidRPr="009A5B6D">
        <w:rPr>
          <w:sz w:val="22"/>
          <w:szCs w:val="22"/>
          <w:lang w:val="uk-UA"/>
        </w:rPr>
        <w:t xml:space="preserve">Загальною тенденцією є поступове зменшення обсягів використання харчових сільськогосподарських культур для виробництва моторних біопалив за рахунок </w:t>
      </w:r>
      <w:r w:rsidR="007C633B" w:rsidRPr="009A5B6D">
        <w:rPr>
          <w:sz w:val="22"/>
          <w:szCs w:val="22"/>
          <w:lang w:val="uk-UA"/>
        </w:rPr>
        <w:t xml:space="preserve">залучення </w:t>
      </w:r>
      <w:r w:rsidRPr="009A5B6D">
        <w:rPr>
          <w:sz w:val="22"/>
          <w:szCs w:val="22"/>
          <w:lang w:val="uk-UA"/>
        </w:rPr>
        <w:t>інших видів сировини. Так, з 2006 р. частка ріпакової олії для отримання біодизел</w:t>
      </w:r>
      <w:r w:rsidR="00F64013" w:rsidRPr="009A5B6D">
        <w:rPr>
          <w:sz w:val="22"/>
          <w:szCs w:val="22"/>
          <w:lang w:val="uk-UA"/>
        </w:rPr>
        <w:t>я</w:t>
      </w:r>
      <w:r w:rsidRPr="009A5B6D">
        <w:rPr>
          <w:sz w:val="22"/>
          <w:szCs w:val="22"/>
          <w:lang w:val="uk-UA"/>
        </w:rPr>
        <w:t xml:space="preserve"> в ЄС скоротилася майже вдвічі, а застосування відходів, таких як вживана олія для смаження та тваринні жири, збільшилося у понад 20 разів (рис. 1). Це пов’язано із необхідністю переходу на виробництво і використання моторних біопалив другого покоління. За даними 2019 р., частка всіх рідких біопалив на транспорті в ЄС-28 становила 5,7%, у тому числі біопалив другого покоління – 1,2%</w:t>
      </w:r>
      <w:r w:rsidR="00C230CB" w:rsidRPr="009A5B6D">
        <w:rPr>
          <w:sz w:val="22"/>
          <w:szCs w:val="22"/>
          <w:lang w:val="uk-UA"/>
        </w:rPr>
        <w:t xml:space="preserve"> (без подвійного </w:t>
      </w:r>
      <w:r w:rsidR="00456D5C" w:rsidRPr="009A5B6D">
        <w:rPr>
          <w:sz w:val="22"/>
          <w:szCs w:val="22"/>
          <w:lang w:val="uk-UA"/>
        </w:rPr>
        <w:t>зарахування</w:t>
      </w:r>
      <w:r w:rsidR="00BE42B6" w:rsidRPr="009A5B6D">
        <w:rPr>
          <w:sz w:val="22"/>
          <w:szCs w:val="22"/>
          <w:lang w:val="uk-UA"/>
        </w:rPr>
        <w:t>, можливого</w:t>
      </w:r>
      <w:r w:rsidR="00C230CB" w:rsidRPr="009A5B6D">
        <w:rPr>
          <w:sz w:val="22"/>
          <w:szCs w:val="22"/>
          <w:lang w:val="uk-UA"/>
        </w:rPr>
        <w:t xml:space="preserve"> згідно Директиви </w:t>
      </w:r>
      <w:r w:rsidR="00C230CB" w:rsidRPr="009A5B6D">
        <w:rPr>
          <w:sz w:val="22"/>
          <w:szCs w:val="22"/>
          <w:lang w:val="en-US"/>
        </w:rPr>
        <w:t>RED</w:t>
      </w:r>
      <w:r w:rsidR="00C230CB" w:rsidRPr="009A5B6D">
        <w:rPr>
          <w:sz w:val="22"/>
          <w:szCs w:val="22"/>
        </w:rPr>
        <w:t xml:space="preserve"> </w:t>
      </w:r>
      <w:r w:rsidR="00C230CB" w:rsidRPr="009A5B6D">
        <w:rPr>
          <w:sz w:val="22"/>
          <w:szCs w:val="22"/>
          <w:lang w:val="en-US"/>
        </w:rPr>
        <w:t>II</w:t>
      </w:r>
      <w:r w:rsidR="00C230CB" w:rsidRPr="009A5B6D">
        <w:rPr>
          <w:sz w:val="22"/>
          <w:szCs w:val="22"/>
          <w:lang w:val="uk-UA"/>
        </w:rPr>
        <w:t>)</w:t>
      </w:r>
      <w:r w:rsidR="00456D5C" w:rsidRPr="009A5B6D">
        <w:rPr>
          <w:sz w:val="22"/>
          <w:szCs w:val="22"/>
          <w:lang w:val="uk-UA"/>
        </w:rPr>
        <w:t xml:space="preserve"> (рис. 2)</w:t>
      </w:r>
      <w:r w:rsidRPr="009A5B6D">
        <w:rPr>
          <w:sz w:val="22"/>
          <w:szCs w:val="22"/>
          <w:lang w:val="uk-UA"/>
        </w:rPr>
        <w:t>.</w:t>
      </w:r>
      <w:r>
        <w:rPr>
          <w:sz w:val="22"/>
          <w:szCs w:val="22"/>
          <w:lang w:val="uk-UA"/>
        </w:rPr>
        <w:t xml:space="preserve"> </w:t>
      </w:r>
    </w:p>
    <w:p w14:paraId="54E4C481" w14:textId="6BB5648A" w:rsidR="007426D8" w:rsidRPr="007426D8" w:rsidRDefault="007426D8" w:rsidP="007426D8">
      <w:pPr>
        <w:widowControl w:val="0"/>
        <w:spacing w:line="360" w:lineRule="auto"/>
        <w:jc w:val="center"/>
        <w:rPr>
          <w:bCs/>
          <w:sz w:val="22"/>
          <w:szCs w:val="22"/>
          <w:lang w:val="uk-UA" w:eastAsia="en-US"/>
        </w:rPr>
      </w:pPr>
      <w:r>
        <w:rPr>
          <w:bCs/>
          <w:noProof/>
          <w:sz w:val="22"/>
          <w:szCs w:val="22"/>
          <w:lang w:val="uk-UA" w:eastAsia="uk-UA"/>
        </w:rPr>
        <w:drawing>
          <wp:inline distT="0" distB="0" distL="0" distR="0" wp14:anchorId="28DEE4BD" wp14:editId="00F4E390">
            <wp:extent cx="4833620" cy="2193361"/>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2176" cy="2201781"/>
                    </a:xfrm>
                    <a:prstGeom prst="rect">
                      <a:avLst/>
                    </a:prstGeom>
                  </pic:spPr>
                </pic:pic>
              </a:graphicData>
            </a:graphic>
          </wp:inline>
        </w:drawing>
      </w:r>
    </w:p>
    <w:p w14:paraId="05DAE6AF" w14:textId="25C417D6" w:rsidR="00CE3B91" w:rsidRPr="009A5B6D" w:rsidRDefault="00CE3B91" w:rsidP="0074487A">
      <w:pPr>
        <w:widowControl w:val="0"/>
        <w:jc w:val="center"/>
        <w:rPr>
          <w:rFonts w:eastAsia="Calibri"/>
          <w:b/>
          <w:i/>
          <w:sz w:val="22"/>
          <w:szCs w:val="22"/>
          <w:lang w:val="uk-UA" w:eastAsia="en-US"/>
        </w:rPr>
      </w:pPr>
      <w:r w:rsidRPr="009A5B6D">
        <w:rPr>
          <w:rFonts w:eastAsia="Calibri"/>
          <w:b/>
          <w:i/>
          <w:sz w:val="22"/>
          <w:szCs w:val="22"/>
          <w:lang w:val="uk-UA" w:eastAsia="en-US"/>
        </w:rPr>
        <w:t>Рис. 1. Змін</w:t>
      </w:r>
      <w:r w:rsidR="00F8625A" w:rsidRPr="009A5B6D">
        <w:rPr>
          <w:rFonts w:eastAsia="Calibri"/>
          <w:b/>
          <w:i/>
          <w:sz w:val="22"/>
          <w:szCs w:val="22"/>
          <w:lang w:val="uk-UA" w:eastAsia="en-US"/>
        </w:rPr>
        <w:t>а</w:t>
      </w:r>
      <w:r w:rsidRPr="009A5B6D">
        <w:rPr>
          <w:rFonts w:eastAsia="Calibri"/>
          <w:b/>
          <w:i/>
          <w:sz w:val="22"/>
          <w:szCs w:val="22"/>
          <w:lang w:val="uk-UA" w:eastAsia="en-US"/>
        </w:rPr>
        <w:t xml:space="preserve"> структури сировини для виробництва биодизеля в ЄС-28 </w:t>
      </w:r>
      <w:r w:rsidRPr="009A5B6D">
        <w:rPr>
          <w:b/>
          <w:i/>
          <w:sz w:val="22"/>
          <w:szCs w:val="22"/>
          <w:lang w:val="uk-UA"/>
        </w:rPr>
        <w:t>[</w:t>
      </w:r>
      <w:r w:rsidR="001E3AE5" w:rsidRPr="009A5B6D">
        <w:rPr>
          <w:b/>
          <w:i/>
          <w:sz w:val="22"/>
          <w:szCs w:val="22"/>
          <w:lang w:val="uk-UA"/>
        </w:rPr>
        <w:t>5</w:t>
      </w:r>
      <w:r w:rsidRPr="009A5B6D">
        <w:rPr>
          <w:b/>
          <w:i/>
          <w:sz w:val="22"/>
          <w:szCs w:val="22"/>
          <w:lang w:val="uk-UA"/>
        </w:rPr>
        <w:t>]</w:t>
      </w:r>
      <w:r w:rsidR="007426D8" w:rsidRPr="009A5B6D">
        <w:rPr>
          <w:rFonts w:eastAsia="Calibri"/>
          <w:b/>
          <w:i/>
          <w:sz w:val="22"/>
          <w:szCs w:val="22"/>
          <w:lang w:val="uk-UA" w:eastAsia="en-US"/>
        </w:rPr>
        <w:t>:</w:t>
      </w:r>
    </w:p>
    <w:p w14:paraId="6ED33A5E" w14:textId="7CDB1945" w:rsidR="007426D8" w:rsidRPr="00E30C50" w:rsidRDefault="007426D8" w:rsidP="0074487A">
      <w:pPr>
        <w:widowControl w:val="0"/>
        <w:jc w:val="center"/>
        <w:rPr>
          <w:b/>
          <w:bCs/>
          <w:i/>
          <w:sz w:val="22"/>
          <w:szCs w:val="22"/>
          <w:lang w:val="uk-UA" w:eastAsia="en-US"/>
        </w:rPr>
      </w:pPr>
      <w:r w:rsidRPr="00E30C50">
        <w:rPr>
          <w:b/>
          <w:bCs/>
          <w:i/>
          <w:sz w:val="22"/>
          <w:szCs w:val="22"/>
          <w:lang w:val="uk-UA" w:eastAsia="en-US"/>
        </w:rPr>
        <w:lastRenderedPageBreak/>
        <w:t>1 – ріпакова олія; 2 – пальмова олія</w:t>
      </w:r>
      <w:r w:rsidR="00D96ECB" w:rsidRPr="00E30C50">
        <w:rPr>
          <w:b/>
          <w:bCs/>
          <w:i/>
          <w:sz w:val="22"/>
          <w:szCs w:val="22"/>
          <w:lang w:val="uk-UA" w:eastAsia="en-US"/>
        </w:rPr>
        <w:t xml:space="preserve">; 3 – соєва олія; 4 – соняшникова олія; 5 – інше (олія хвойних, талова олія, жирні кислоти); 6 – </w:t>
      </w:r>
      <w:r w:rsidR="00761A59" w:rsidRPr="00E30C50">
        <w:rPr>
          <w:b/>
          <w:bCs/>
          <w:i/>
          <w:sz w:val="22"/>
          <w:szCs w:val="22"/>
          <w:lang w:val="uk-UA" w:eastAsia="en-US"/>
        </w:rPr>
        <w:t>вживана олія для смаження</w:t>
      </w:r>
      <w:r w:rsidR="00E30C50" w:rsidRPr="00E30C50">
        <w:rPr>
          <w:b/>
          <w:bCs/>
          <w:i/>
          <w:sz w:val="22"/>
          <w:szCs w:val="22"/>
          <w:lang w:val="uk-UA" w:eastAsia="en-US"/>
        </w:rPr>
        <w:t>; 7 – тваринні жири</w:t>
      </w:r>
    </w:p>
    <w:p w14:paraId="1B011A2F" w14:textId="77777777" w:rsidR="005F3153" w:rsidRDefault="005F3153" w:rsidP="00FD1381">
      <w:pPr>
        <w:widowControl w:val="0"/>
        <w:spacing w:line="360" w:lineRule="auto"/>
        <w:ind w:firstLine="709"/>
        <w:jc w:val="both"/>
        <w:rPr>
          <w:bCs/>
          <w:sz w:val="22"/>
          <w:szCs w:val="22"/>
          <w:lang w:val="uk-UA" w:eastAsia="en-US"/>
        </w:rPr>
      </w:pPr>
    </w:p>
    <w:p w14:paraId="72C66EAE" w14:textId="31D970BF" w:rsidR="001573AE" w:rsidRDefault="00761A59" w:rsidP="001573AE">
      <w:pPr>
        <w:widowControl w:val="0"/>
        <w:spacing w:line="360" w:lineRule="auto"/>
        <w:jc w:val="center"/>
        <w:rPr>
          <w:bCs/>
          <w:sz w:val="22"/>
          <w:szCs w:val="22"/>
          <w:lang w:val="uk-UA" w:eastAsia="en-US"/>
        </w:rPr>
      </w:pPr>
      <w:r>
        <w:rPr>
          <w:bCs/>
          <w:noProof/>
          <w:sz w:val="22"/>
          <w:szCs w:val="22"/>
          <w:lang w:val="uk-UA" w:eastAsia="uk-UA"/>
        </w:rPr>
        <w:drawing>
          <wp:inline distT="0" distB="0" distL="0" distR="0" wp14:anchorId="7DC72028" wp14:editId="31FB4140">
            <wp:extent cx="2954020" cy="1923931"/>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0166" cy="1940960"/>
                    </a:xfrm>
                    <a:prstGeom prst="rect">
                      <a:avLst/>
                    </a:prstGeom>
                  </pic:spPr>
                </pic:pic>
              </a:graphicData>
            </a:graphic>
          </wp:inline>
        </w:drawing>
      </w:r>
    </w:p>
    <w:p w14:paraId="61D9EE60" w14:textId="508762F5" w:rsidR="001E184C" w:rsidRPr="00E30C50" w:rsidRDefault="001E184C" w:rsidP="0074487A">
      <w:pPr>
        <w:widowControl w:val="0"/>
        <w:jc w:val="center"/>
        <w:rPr>
          <w:rFonts w:eastAsia="Calibri"/>
          <w:b/>
          <w:i/>
          <w:sz w:val="22"/>
          <w:szCs w:val="22"/>
          <w:lang w:val="uk-UA" w:eastAsia="en-US"/>
        </w:rPr>
      </w:pPr>
      <w:r w:rsidRPr="00E30C50">
        <w:rPr>
          <w:rFonts w:eastAsia="Calibri"/>
          <w:b/>
          <w:i/>
          <w:sz w:val="22"/>
          <w:szCs w:val="22"/>
          <w:lang w:val="uk-UA" w:eastAsia="en-US"/>
        </w:rPr>
        <w:t xml:space="preserve">Рис. </w:t>
      </w:r>
      <w:r w:rsidR="00501BFA" w:rsidRPr="00E30C50">
        <w:rPr>
          <w:rFonts w:eastAsia="Calibri"/>
          <w:b/>
          <w:i/>
          <w:sz w:val="22"/>
          <w:szCs w:val="22"/>
          <w:lang w:val="uk-UA" w:eastAsia="en-US"/>
        </w:rPr>
        <w:t>2</w:t>
      </w:r>
      <w:r w:rsidRPr="00E30C50">
        <w:rPr>
          <w:rFonts w:eastAsia="Calibri"/>
          <w:b/>
          <w:i/>
          <w:sz w:val="22"/>
          <w:szCs w:val="22"/>
          <w:lang w:val="uk-UA" w:eastAsia="en-US"/>
        </w:rPr>
        <w:t xml:space="preserve">. Внесок рідких біопалив у споживання енергії на транспорті в ЄС-28 </w:t>
      </w:r>
      <w:r w:rsidRPr="00E30C50">
        <w:rPr>
          <w:b/>
          <w:i/>
          <w:sz w:val="22"/>
          <w:szCs w:val="22"/>
          <w:lang w:val="uk-UA"/>
        </w:rPr>
        <w:t>[6]</w:t>
      </w:r>
      <w:r w:rsidR="00761A59" w:rsidRPr="00E30C50">
        <w:rPr>
          <w:rFonts w:eastAsia="Calibri"/>
          <w:b/>
          <w:i/>
          <w:sz w:val="22"/>
          <w:szCs w:val="22"/>
          <w:lang w:val="uk-UA" w:eastAsia="en-US"/>
        </w:rPr>
        <w:t>:</w:t>
      </w:r>
    </w:p>
    <w:p w14:paraId="39E1A7FF" w14:textId="32F73ED1" w:rsidR="009F0CFF" w:rsidRPr="00E30C50" w:rsidRDefault="00761A59" w:rsidP="0074487A">
      <w:pPr>
        <w:widowControl w:val="0"/>
        <w:jc w:val="center"/>
        <w:rPr>
          <w:b/>
          <w:bCs/>
          <w:i/>
          <w:sz w:val="22"/>
          <w:szCs w:val="22"/>
          <w:lang w:val="uk-UA" w:eastAsia="en-US"/>
        </w:rPr>
      </w:pPr>
      <w:r w:rsidRPr="00E30C50">
        <w:rPr>
          <w:b/>
          <w:bCs/>
          <w:i/>
          <w:sz w:val="22"/>
          <w:szCs w:val="22"/>
          <w:lang w:val="uk-UA" w:eastAsia="en-US"/>
        </w:rPr>
        <w:t xml:space="preserve">1 – біопалива </w:t>
      </w:r>
      <w:r w:rsidR="009F0CFF" w:rsidRPr="00E30C50">
        <w:rPr>
          <w:b/>
          <w:bCs/>
          <w:i/>
          <w:sz w:val="22"/>
          <w:szCs w:val="22"/>
          <w:lang w:val="uk-UA" w:eastAsia="en-US"/>
        </w:rPr>
        <w:t>другого покоління (</w:t>
      </w:r>
      <w:r w:rsidR="00E27E18" w:rsidRPr="00E30C50">
        <w:rPr>
          <w:b/>
          <w:bCs/>
          <w:i/>
          <w:sz w:val="22"/>
          <w:szCs w:val="22"/>
          <w:lang w:val="uk-UA" w:eastAsia="en-US"/>
        </w:rPr>
        <w:t xml:space="preserve">види сировини </w:t>
      </w:r>
      <w:r w:rsidR="009F0CFF" w:rsidRPr="00E30C50">
        <w:rPr>
          <w:b/>
          <w:bCs/>
          <w:i/>
          <w:sz w:val="22"/>
          <w:szCs w:val="22"/>
          <w:lang w:val="uk-UA" w:eastAsia="en-US"/>
        </w:rPr>
        <w:t xml:space="preserve">перелічені в частині </w:t>
      </w:r>
      <w:r w:rsidR="009F0CFF" w:rsidRPr="00E30C50">
        <w:rPr>
          <w:b/>
          <w:bCs/>
          <w:i/>
          <w:sz w:val="22"/>
          <w:szCs w:val="22"/>
          <w:lang w:val="en-US" w:eastAsia="en-US"/>
        </w:rPr>
        <w:t>A</w:t>
      </w:r>
      <w:r w:rsidR="009F0CFF" w:rsidRPr="00E30C50">
        <w:rPr>
          <w:b/>
          <w:bCs/>
          <w:i/>
          <w:sz w:val="22"/>
          <w:szCs w:val="22"/>
          <w:lang w:val="uk-UA" w:eastAsia="en-US"/>
        </w:rPr>
        <w:t xml:space="preserve"> додатку ІХ </w:t>
      </w:r>
      <w:r w:rsidR="00460E34" w:rsidRPr="00E30C50">
        <w:rPr>
          <w:b/>
          <w:bCs/>
          <w:i/>
          <w:sz w:val="22"/>
          <w:szCs w:val="22"/>
          <w:lang w:val="uk-UA" w:eastAsia="en-US"/>
        </w:rPr>
        <w:t xml:space="preserve">Директиви </w:t>
      </w:r>
      <w:r w:rsidR="009F0CFF" w:rsidRPr="00E30C50">
        <w:rPr>
          <w:b/>
          <w:bCs/>
          <w:i/>
          <w:sz w:val="22"/>
          <w:szCs w:val="22"/>
          <w:lang w:val="en-US" w:eastAsia="en-US"/>
        </w:rPr>
        <w:t>RED</w:t>
      </w:r>
      <w:r w:rsidR="009F0CFF" w:rsidRPr="00E30C50">
        <w:rPr>
          <w:b/>
          <w:bCs/>
          <w:i/>
          <w:sz w:val="22"/>
          <w:szCs w:val="22"/>
          <w:lang w:val="uk-UA" w:eastAsia="en-US"/>
        </w:rPr>
        <w:t xml:space="preserve"> </w:t>
      </w:r>
      <w:r w:rsidR="009F0CFF" w:rsidRPr="00E30C50">
        <w:rPr>
          <w:b/>
          <w:bCs/>
          <w:i/>
          <w:sz w:val="22"/>
          <w:szCs w:val="22"/>
          <w:lang w:val="en-US" w:eastAsia="en-US"/>
        </w:rPr>
        <w:t>II</w:t>
      </w:r>
      <w:r w:rsidR="009F0CFF" w:rsidRPr="00E30C50">
        <w:rPr>
          <w:b/>
          <w:bCs/>
          <w:i/>
          <w:sz w:val="22"/>
          <w:szCs w:val="22"/>
          <w:lang w:val="uk-UA" w:eastAsia="en-US"/>
        </w:rPr>
        <w:t>); 2 – біопалива другого покоління (</w:t>
      </w:r>
      <w:r w:rsidR="00E27E18" w:rsidRPr="00E30C50">
        <w:rPr>
          <w:b/>
          <w:bCs/>
          <w:i/>
          <w:sz w:val="22"/>
          <w:szCs w:val="22"/>
          <w:lang w:val="uk-UA" w:eastAsia="en-US"/>
        </w:rPr>
        <w:t xml:space="preserve">види сировини </w:t>
      </w:r>
      <w:r w:rsidR="009F0CFF" w:rsidRPr="00E30C50">
        <w:rPr>
          <w:b/>
          <w:bCs/>
          <w:i/>
          <w:sz w:val="22"/>
          <w:szCs w:val="22"/>
          <w:lang w:val="uk-UA" w:eastAsia="en-US"/>
        </w:rPr>
        <w:t xml:space="preserve">перелічені в частині В додатку ІХ </w:t>
      </w:r>
      <w:r w:rsidR="00460E34" w:rsidRPr="00E30C50">
        <w:rPr>
          <w:b/>
          <w:bCs/>
          <w:i/>
          <w:sz w:val="22"/>
          <w:szCs w:val="22"/>
          <w:lang w:val="uk-UA" w:eastAsia="en-US"/>
        </w:rPr>
        <w:t xml:space="preserve">Директиви </w:t>
      </w:r>
      <w:r w:rsidR="009F0CFF" w:rsidRPr="00E30C50">
        <w:rPr>
          <w:b/>
          <w:bCs/>
          <w:i/>
          <w:sz w:val="22"/>
          <w:szCs w:val="22"/>
          <w:lang w:val="en-US" w:eastAsia="en-US"/>
        </w:rPr>
        <w:t>RED</w:t>
      </w:r>
      <w:r w:rsidR="009F0CFF" w:rsidRPr="00E30C50">
        <w:rPr>
          <w:b/>
          <w:bCs/>
          <w:i/>
          <w:sz w:val="22"/>
          <w:szCs w:val="22"/>
          <w:lang w:val="uk-UA" w:eastAsia="en-US"/>
        </w:rPr>
        <w:t xml:space="preserve"> </w:t>
      </w:r>
      <w:r w:rsidR="009F0CFF" w:rsidRPr="00E30C50">
        <w:rPr>
          <w:b/>
          <w:bCs/>
          <w:i/>
          <w:sz w:val="22"/>
          <w:szCs w:val="22"/>
          <w:lang w:val="en-US" w:eastAsia="en-US"/>
        </w:rPr>
        <w:t>II</w:t>
      </w:r>
      <w:r w:rsidR="009F0CFF" w:rsidRPr="00E30C50">
        <w:rPr>
          <w:b/>
          <w:bCs/>
          <w:i/>
          <w:sz w:val="22"/>
          <w:szCs w:val="22"/>
          <w:lang w:val="uk-UA" w:eastAsia="en-US"/>
        </w:rPr>
        <w:t>); 3 – біопалива першого поколі</w:t>
      </w:r>
      <w:r w:rsidR="00E30C50" w:rsidRPr="00E30C50">
        <w:rPr>
          <w:b/>
          <w:bCs/>
          <w:i/>
          <w:sz w:val="22"/>
          <w:szCs w:val="22"/>
          <w:lang w:val="uk-UA" w:eastAsia="en-US"/>
        </w:rPr>
        <w:t>ння; 4 – рідкі біопалива всього</w:t>
      </w:r>
    </w:p>
    <w:p w14:paraId="4E4FD521" w14:textId="77777777" w:rsidR="00F03BA1" w:rsidRDefault="00F03BA1" w:rsidP="0074487A">
      <w:pPr>
        <w:widowControl w:val="0"/>
        <w:ind w:firstLine="709"/>
        <w:jc w:val="both"/>
        <w:rPr>
          <w:bCs/>
          <w:sz w:val="22"/>
          <w:szCs w:val="22"/>
          <w:lang w:val="uk-UA" w:eastAsia="en-US"/>
        </w:rPr>
      </w:pPr>
    </w:p>
    <w:p w14:paraId="24C90FEA" w14:textId="545890C2" w:rsidR="00382A3D" w:rsidRPr="009A5B6D" w:rsidRDefault="00382A3D" w:rsidP="00882689">
      <w:pPr>
        <w:widowControl w:val="0"/>
        <w:spacing w:line="276" w:lineRule="auto"/>
        <w:ind w:firstLine="709"/>
        <w:jc w:val="both"/>
        <w:rPr>
          <w:bCs/>
          <w:sz w:val="22"/>
          <w:szCs w:val="22"/>
          <w:lang w:val="uk-UA" w:eastAsia="en-US"/>
        </w:rPr>
      </w:pPr>
      <w:r w:rsidRPr="009A5B6D">
        <w:rPr>
          <w:bCs/>
          <w:sz w:val="22"/>
          <w:szCs w:val="22"/>
          <w:lang w:val="uk-UA" w:eastAsia="en-US"/>
        </w:rPr>
        <w:t>Поточний обсяг виробництва рідких біопалив ІІ покоління в ЄС складає більше 53 млрд л/рік</w:t>
      </w:r>
      <w:r w:rsidR="00553EE3" w:rsidRPr="009A5B6D">
        <w:rPr>
          <w:bCs/>
          <w:sz w:val="22"/>
          <w:szCs w:val="22"/>
          <w:lang w:val="uk-UA" w:eastAsia="en-US"/>
        </w:rPr>
        <w:t xml:space="preserve"> (табл. 2)</w:t>
      </w:r>
      <w:r w:rsidRPr="009A5B6D">
        <w:rPr>
          <w:bCs/>
          <w:sz w:val="22"/>
          <w:szCs w:val="22"/>
          <w:lang w:val="uk-UA" w:eastAsia="en-US"/>
        </w:rPr>
        <w:t>. Головним чином це гідрогенізована рослинна олія (</w:t>
      </w:r>
      <w:r w:rsidRPr="009A5B6D">
        <w:rPr>
          <w:bCs/>
          <w:sz w:val="22"/>
          <w:szCs w:val="22"/>
          <w:lang w:val="en-US" w:eastAsia="en-US"/>
        </w:rPr>
        <w:t>HVO</w:t>
      </w:r>
      <w:r w:rsidRPr="009A5B6D">
        <w:rPr>
          <w:bCs/>
          <w:sz w:val="22"/>
          <w:szCs w:val="22"/>
          <w:lang w:val="uk-UA" w:eastAsia="en-US"/>
        </w:rPr>
        <w:t>)</w:t>
      </w:r>
      <w:r w:rsidR="00326BAF" w:rsidRPr="009A5B6D">
        <w:rPr>
          <w:bCs/>
          <w:sz w:val="22"/>
          <w:szCs w:val="22"/>
          <w:lang w:val="uk-UA" w:eastAsia="en-US"/>
        </w:rPr>
        <w:t xml:space="preserve">, що являє собою більш сучасний продукт порівняно з традиційним біодизелем – </w:t>
      </w:r>
      <w:r w:rsidR="00326BAF" w:rsidRPr="009A5B6D">
        <w:rPr>
          <w:sz w:val="22"/>
          <w:szCs w:val="22"/>
          <w:lang w:val="uk-UA"/>
        </w:rPr>
        <w:t>метиловим ефіром жирних кислот (</w:t>
      </w:r>
      <w:r w:rsidR="00326BAF" w:rsidRPr="009A5B6D">
        <w:rPr>
          <w:sz w:val="22"/>
          <w:szCs w:val="22"/>
          <w:lang w:val="en-US"/>
        </w:rPr>
        <w:t>FAME</w:t>
      </w:r>
      <w:r w:rsidR="00326BAF" w:rsidRPr="009A5B6D">
        <w:rPr>
          <w:sz w:val="22"/>
          <w:szCs w:val="22"/>
          <w:lang w:val="uk-UA"/>
        </w:rPr>
        <w:t>).</w:t>
      </w:r>
      <w:r w:rsidR="00553EE3" w:rsidRPr="009A5B6D">
        <w:rPr>
          <w:sz w:val="22"/>
          <w:szCs w:val="22"/>
          <w:lang w:val="uk-UA"/>
        </w:rPr>
        <w:t xml:space="preserve"> Г</w:t>
      </w:r>
      <w:r w:rsidR="00553EE3" w:rsidRPr="009A5B6D">
        <w:rPr>
          <w:bCs/>
          <w:sz w:val="22"/>
          <w:szCs w:val="22"/>
          <w:lang w:val="uk-UA" w:eastAsia="en-US"/>
        </w:rPr>
        <w:t xml:space="preserve">ідрогенізована рослинна олія може вироблятися з будь-якої рослинної олії або тваринних жирів і може бути повним замінником дизеля та гасу. </w:t>
      </w:r>
      <w:r w:rsidR="0022073B" w:rsidRPr="009A5B6D">
        <w:rPr>
          <w:bCs/>
          <w:sz w:val="22"/>
          <w:szCs w:val="22"/>
          <w:lang w:val="uk-UA" w:eastAsia="en-US"/>
        </w:rPr>
        <w:t xml:space="preserve">Обсяги виробництва біоетанолу ІІ покоління є наразі значно меншими, ніж біодизеля. Інвестиції в даний напрямок стримуються високою вартістю необхідних науково-дослідних робіт значними операційними витратами установок. </w:t>
      </w:r>
      <w:r w:rsidR="00AA7149" w:rsidRPr="009A5B6D">
        <w:rPr>
          <w:bCs/>
          <w:sz w:val="22"/>
          <w:szCs w:val="22"/>
          <w:lang w:val="uk-UA" w:eastAsia="en-US"/>
        </w:rPr>
        <w:t xml:space="preserve">Тим не менш, плани по нарощуванню виробництва біоетанолу з лігноцелюлозної сировини існують в Фінляндії, Словаччині, Румунії, </w:t>
      </w:r>
      <w:r w:rsidR="00A97CC6" w:rsidRPr="009A5B6D">
        <w:rPr>
          <w:bCs/>
          <w:sz w:val="22"/>
          <w:szCs w:val="22"/>
          <w:lang w:val="uk-UA" w:eastAsia="en-US"/>
        </w:rPr>
        <w:t xml:space="preserve">Норвегії, завдяки чому річне виробництво може сягнути 240 млн л. </w:t>
      </w:r>
    </w:p>
    <w:p w14:paraId="50743DC7" w14:textId="77777777" w:rsidR="00382A3D" w:rsidRPr="009A5B6D" w:rsidRDefault="00382A3D" w:rsidP="00FD1381">
      <w:pPr>
        <w:widowControl w:val="0"/>
        <w:spacing w:line="360" w:lineRule="auto"/>
        <w:ind w:firstLine="709"/>
        <w:jc w:val="both"/>
        <w:rPr>
          <w:bCs/>
          <w:sz w:val="22"/>
          <w:szCs w:val="22"/>
          <w:lang w:val="uk-UA" w:eastAsia="en-US"/>
        </w:rPr>
      </w:pPr>
    </w:p>
    <w:p w14:paraId="29372C1D" w14:textId="575AFF6D" w:rsidR="00032B17" w:rsidRPr="009A5B6D" w:rsidRDefault="00032B17" w:rsidP="00032B17">
      <w:pPr>
        <w:widowControl w:val="0"/>
        <w:spacing w:line="360" w:lineRule="auto"/>
        <w:jc w:val="both"/>
        <w:rPr>
          <w:sz w:val="22"/>
          <w:szCs w:val="22"/>
          <w:lang w:val="uk-UA"/>
        </w:rPr>
      </w:pPr>
      <w:r w:rsidRPr="009A5B6D">
        <w:rPr>
          <w:sz w:val="22"/>
          <w:szCs w:val="22"/>
          <w:lang w:val="uk-UA"/>
        </w:rPr>
        <w:t>Табл. 2. Комерційні установки з виробництва рідких біоп</w:t>
      </w:r>
      <w:r w:rsidR="00E30C50">
        <w:rPr>
          <w:sz w:val="22"/>
          <w:szCs w:val="22"/>
          <w:lang w:val="uk-UA"/>
        </w:rPr>
        <w:t>алив другого покоління в ЄС [6]</w:t>
      </w:r>
    </w:p>
    <w:tbl>
      <w:tblPr>
        <w:tblStyle w:val="a3"/>
        <w:tblW w:w="0" w:type="auto"/>
        <w:tblLook w:val="04A0" w:firstRow="1" w:lastRow="0" w:firstColumn="1" w:lastColumn="0" w:noHBand="0" w:noVBand="1"/>
      </w:tblPr>
      <w:tblGrid>
        <w:gridCol w:w="1599"/>
        <w:gridCol w:w="1798"/>
        <w:gridCol w:w="1276"/>
        <w:gridCol w:w="1985"/>
        <w:gridCol w:w="1559"/>
        <w:gridCol w:w="1410"/>
      </w:tblGrid>
      <w:tr w:rsidR="00032B17" w:rsidRPr="009A5B6D" w14:paraId="58D07CB9" w14:textId="77777777" w:rsidTr="009F0CFF">
        <w:tc>
          <w:tcPr>
            <w:tcW w:w="1599" w:type="dxa"/>
            <w:vAlign w:val="center"/>
          </w:tcPr>
          <w:p w14:paraId="650832D7" w14:textId="2134ADD3" w:rsidR="00032B17" w:rsidRPr="009A5B6D" w:rsidRDefault="00032B17" w:rsidP="00E70D25">
            <w:pPr>
              <w:widowControl w:val="0"/>
              <w:jc w:val="center"/>
              <w:rPr>
                <w:bCs/>
                <w:sz w:val="22"/>
                <w:szCs w:val="22"/>
                <w:lang w:val="uk-UA" w:eastAsia="en-US"/>
              </w:rPr>
            </w:pPr>
            <w:r w:rsidRPr="009A5B6D">
              <w:rPr>
                <w:bCs/>
                <w:sz w:val="22"/>
                <w:szCs w:val="22"/>
                <w:lang w:val="uk-UA" w:eastAsia="en-US"/>
              </w:rPr>
              <w:t>Країна</w:t>
            </w:r>
          </w:p>
        </w:tc>
        <w:tc>
          <w:tcPr>
            <w:tcW w:w="1798" w:type="dxa"/>
            <w:vAlign w:val="center"/>
          </w:tcPr>
          <w:p w14:paraId="069351D4" w14:textId="7CFD2AE6" w:rsidR="00032B17" w:rsidRPr="009A5B6D" w:rsidRDefault="00032B17" w:rsidP="00E70D25">
            <w:pPr>
              <w:widowControl w:val="0"/>
              <w:jc w:val="center"/>
              <w:rPr>
                <w:bCs/>
                <w:sz w:val="22"/>
                <w:szCs w:val="22"/>
                <w:lang w:val="uk-UA" w:eastAsia="en-US"/>
              </w:rPr>
            </w:pPr>
            <w:r w:rsidRPr="009A5B6D">
              <w:rPr>
                <w:bCs/>
                <w:sz w:val="22"/>
                <w:szCs w:val="22"/>
                <w:lang w:val="uk-UA" w:eastAsia="en-US"/>
              </w:rPr>
              <w:t>Процес</w:t>
            </w:r>
          </w:p>
        </w:tc>
        <w:tc>
          <w:tcPr>
            <w:tcW w:w="1276" w:type="dxa"/>
            <w:vAlign w:val="center"/>
          </w:tcPr>
          <w:p w14:paraId="5CB6DED2" w14:textId="1763C30D" w:rsidR="00032B17" w:rsidRPr="009A5B6D" w:rsidRDefault="00032B17" w:rsidP="00E70D25">
            <w:pPr>
              <w:widowControl w:val="0"/>
              <w:jc w:val="center"/>
              <w:rPr>
                <w:bCs/>
                <w:sz w:val="22"/>
                <w:szCs w:val="22"/>
                <w:lang w:val="uk-UA" w:eastAsia="en-US"/>
              </w:rPr>
            </w:pPr>
            <w:r w:rsidRPr="009A5B6D">
              <w:rPr>
                <w:bCs/>
                <w:sz w:val="22"/>
                <w:szCs w:val="22"/>
                <w:lang w:val="uk-UA" w:eastAsia="en-US"/>
              </w:rPr>
              <w:t>Біопаливо</w:t>
            </w:r>
          </w:p>
        </w:tc>
        <w:tc>
          <w:tcPr>
            <w:tcW w:w="1985" w:type="dxa"/>
            <w:vAlign w:val="center"/>
          </w:tcPr>
          <w:p w14:paraId="6E8F0FF4" w14:textId="5AF0A60A" w:rsidR="00032B17" w:rsidRPr="009A5B6D" w:rsidRDefault="00032B17" w:rsidP="00E70D25">
            <w:pPr>
              <w:widowControl w:val="0"/>
              <w:jc w:val="center"/>
              <w:rPr>
                <w:bCs/>
                <w:sz w:val="22"/>
                <w:szCs w:val="22"/>
                <w:lang w:val="uk-UA" w:eastAsia="en-US"/>
              </w:rPr>
            </w:pPr>
            <w:r w:rsidRPr="009A5B6D">
              <w:rPr>
                <w:bCs/>
                <w:sz w:val="22"/>
                <w:szCs w:val="22"/>
                <w:lang w:val="uk-UA" w:eastAsia="en-US"/>
              </w:rPr>
              <w:t>Основна сировина</w:t>
            </w:r>
          </w:p>
        </w:tc>
        <w:tc>
          <w:tcPr>
            <w:tcW w:w="1559" w:type="dxa"/>
            <w:vAlign w:val="center"/>
          </w:tcPr>
          <w:p w14:paraId="0163F28A" w14:textId="5D1EA55F" w:rsidR="00032B17" w:rsidRPr="009A5B6D" w:rsidRDefault="00032B17" w:rsidP="00E70D25">
            <w:pPr>
              <w:widowControl w:val="0"/>
              <w:jc w:val="center"/>
              <w:rPr>
                <w:bCs/>
                <w:sz w:val="22"/>
                <w:szCs w:val="22"/>
                <w:lang w:val="uk-UA" w:eastAsia="en-US"/>
              </w:rPr>
            </w:pPr>
            <w:r w:rsidRPr="009A5B6D">
              <w:rPr>
                <w:bCs/>
                <w:sz w:val="22"/>
                <w:szCs w:val="22"/>
                <w:lang w:val="uk-UA" w:eastAsia="en-US"/>
              </w:rPr>
              <w:t>Потужність, млн л/рік</w:t>
            </w:r>
          </w:p>
        </w:tc>
        <w:tc>
          <w:tcPr>
            <w:tcW w:w="1410" w:type="dxa"/>
            <w:vAlign w:val="center"/>
          </w:tcPr>
          <w:p w14:paraId="725C4503" w14:textId="7BBB223F" w:rsidR="00032B17" w:rsidRPr="009A5B6D" w:rsidRDefault="00032B17" w:rsidP="00E70D25">
            <w:pPr>
              <w:widowControl w:val="0"/>
              <w:jc w:val="center"/>
              <w:rPr>
                <w:bCs/>
                <w:sz w:val="22"/>
                <w:szCs w:val="22"/>
                <w:lang w:val="uk-UA" w:eastAsia="en-US"/>
              </w:rPr>
            </w:pPr>
            <w:r w:rsidRPr="009A5B6D">
              <w:rPr>
                <w:bCs/>
                <w:sz w:val="22"/>
                <w:szCs w:val="22"/>
                <w:lang w:val="uk-UA" w:eastAsia="en-US"/>
              </w:rPr>
              <w:t>Рік запуску</w:t>
            </w:r>
          </w:p>
        </w:tc>
      </w:tr>
      <w:tr w:rsidR="00032B17" w:rsidRPr="009A5B6D" w14:paraId="6E1FF934" w14:textId="77777777" w:rsidTr="00D96CD7">
        <w:tc>
          <w:tcPr>
            <w:tcW w:w="1599" w:type="dxa"/>
          </w:tcPr>
          <w:p w14:paraId="56A79C2B" w14:textId="1777C738" w:rsidR="00032B17" w:rsidRPr="009A5B6D" w:rsidRDefault="00032B17" w:rsidP="00E70D25">
            <w:pPr>
              <w:widowControl w:val="0"/>
              <w:jc w:val="both"/>
              <w:rPr>
                <w:bCs/>
                <w:sz w:val="22"/>
                <w:szCs w:val="22"/>
                <w:lang w:val="uk-UA" w:eastAsia="en-US"/>
              </w:rPr>
            </w:pPr>
            <w:r w:rsidRPr="009A5B6D">
              <w:rPr>
                <w:bCs/>
                <w:sz w:val="22"/>
                <w:szCs w:val="22"/>
                <w:lang w:val="uk-UA" w:eastAsia="en-US"/>
              </w:rPr>
              <w:t>Фінляндія</w:t>
            </w:r>
          </w:p>
        </w:tc>
        <w:tc>
          <w:tcPr>
            <w:tcW w:w="1798" w:type="dxa"/>
          </w:tcPr>
          <w:p w14:paraId="771F0625" w14:textId="6B6E69FF" w:rsidR="00032B17" w:rsidRPr="009A5B6D" w:rsidRDefault="008A03F5" w:rsidP="00E70D25">
            <w:pPr>
              <w:widowControl w:val="0"/>
              <w:jc w:val="both"/>
              <w:rPr>
                <w:bCs/>
                <w:sz w:val="22"/>
                <w:szCs w:val="22"/>
                <w:lang w:val="uk-UA" w:eastAsia="en-US"/>
              </w:rPr>
            </w:pPr>
            <w:r w:rsidRPr="009A5B6D">
              <w:rPr>
                <w:bCs/>
                <w:sz w:val="22"/>
                <w:szCs w:val="22"/>
                <w:lang w:val="uk-UA" w:eastAsia="en-US"/>
              </w:rPr>
              <w:t>гідроочищення</w:t>
            </w:r>
          </w:p>
        </w:tc>
        <w:tc>
          <w:tcPr>
            <w:tcW w:w="1276" w:type="dxa"/>
          </w:tcPr>
          <w:p w14:paraId="7C3BA230" w14:textId="59FC739F" w:rsidR="00032B17" w:rsidRPr="009A5B6D" w:rsidRDefault="00A06E5F" w:rsidP="00E70D25">
            <w:pPr>
              <w:widowControl w:val="0"/>
              <w:jc w:val="center"/>
              <w:rPr>
                <w:bCs/>
                <w:sz w:val="22"/>
                <w:szCs w:val="22"/>
                <w:lang w:val="en-US" w:eastAsia="en-US"/>
              </w:rPr>
            </w:pPr>
            <w:r w:rsidRPr="009A5B6D">
              <w:rPr>
                <w:bCs/>
                <w:sz w:val="22"/>
                <w:szCs w:val="22"/>
                <w:lang w:val="en-US" w:eastAsia="en-US"/>
              </w:rPr>
              <w:t>HVO</w:t>
            </w:r>
          </w:p>
        </w:tc>
        <w:tc>
          <w:tcPr>
            <w:tcW w:w="1985" w:type="dxa"/>
          </w:tcPr>
          <w:p w14:paraId="16CA093F" w14:textId="35D6C5D0" w:rsidR="00032B17" w:rsidRPr="009A5B6D" w:rsidRDefault="00D96CD7" w:rsidP="00E70D25">
            <w:pPr>
              <w:widowControl w:val="0"/>
              <w:jc w:val="center"/>
              <w:rPr>
                <w:bCs/>
                <w:sz w:val="22"/>
                <w:szCs w:val="22"/>
                <w:lang w:val="uk-UA" w:eastAsia="en-US"/>
              </w:rPr>
            </w:pPr>
            <w:r w:rsidRPr="009A5B6D">
              <w:rPr>
                <w:bCs/>
                <w:sz w:val="22"/>
                <w:szCs w:val="22"/>
                <w:lang w:val="uk-UA" w:eastAsia="en-US"/>
              </w:rPr>
              <w:t>олії та жири</w:t>
            </w:r>
          </w:p>
        </w:tc>
        <w:tc>
          <w:tcPr>
            <w:tcW w:w="1559" w:type="dxa"/>
          </w:tcPr>
          <w:p w14:paraId="5FD16876" w14:textId="00213B5D" w:rsidR="00032B17" w:rsidRPr="009A5B6D" w:rsidRDefault="00DA0922" w:rsidP="00E70D25">
            <w:pPr>
              <w:widowControl w:val="0"/>
              <w:jc w:val="center"/>
              <w:rPr>
                <w:bCs/>
                <w:sz w:val="22"/>
                <w:szCs w:val="22"/>
                <w:lang w:val="uk-UA" w:eastAsia="en-US"/>
              </w:rPr>
            </w:pPr>
            <w:r w:rsidRPr="009A5B6D">
              <w:rPr>
                <w:bCs/>
                <w:sz w:val="22"/>
                <w:szCs w:val="22"/>
                <w:lang w:val="uk-UA" w:eastAsia="en-US"/>
              </w:rPr>
              <w:t>430 (2 лінії)</w:t>
            </w:r>
          </w:p>
        </w:tc>
        <w:tc>
          <w:tcPr>
            <w:tcW w:w="1410" w:type="dxa"/>
          </w:tcPr>
          <w:p w14:paraId="7FA16801" w14:textId="15EF11AA" w:rsidR="00032B17" w:rsidRPr="009A5B6D" w:rsidRDefault="00DA0922" w:rsidP="00E70D25">
            <w:pPr>
              <w:widowControl w:val="0"/>
              <w:jc w:val="center"/>
              <w:rPr>
                <w:bCs/>
                <w:sz w:val="22"/>
                <w:szCs w:val="22"/>
                <w:lang w:val="uk-UA" w:eastAsia="en-US"/>
              </w:rPr>
            </w:pPr>
            <w:r w:rsidRPr="009A5B6D">
              <w:rPr>
                <w:bCs/>
                <w:sz w:val="22"/>
                <w:szCs w:val="22"/>
                <w:lang w:val="uk-UA" w:eastAsia="en-US"/>
              </w:rPr>
              <w:t>2007</w:t>
            </w:r>
          </w:p>
        </w:tc>
      </w:tr>
      <w:tr w:rsidR="00A06E5F" w:rsidRPr="009A5B6D" w14:paraId="3D3248CA" w14:textId="77777777" w:rsidTr="00D96CD7">
        <w:tc>
          <w:tcPr>
            <w:tcW w:w="1599" w:type="dxa"/>
          </w:tcPr>
          <w:p w14:paraId="7D16174D" w14:textId="4D1F4054" w:rsidR="00A06E5F" w:rsidRPr="009A5B6D" w:rsidRDefault="00A06E5F" w:rsidP="00E70D25">
            <w:pPr>
              <w:widowControl w:val="0"/>
              <w:jc w:val="both"/>
              <w:rPr>
                <w:bCs/>
                <w:sz w:val="22"/>
                <w:szCs w:val="22"/>
                <w:lang w:val="uk-UA" w:eastAsia="en-US"/>
              </w:rPr>
            </w:pPr>
            <w:r w:rsidRPr="009A5B6D">
              <w:rPr>
                <w:bCs/>
                <w:sz w:val="22"/>
                <w:szCs w:val="22"/>
                <w:lang w:val="uk-UA" w:eastAsia="en-US"/>
              </w:rPr>
              <w:t>Фінляндія</w:t>
            </w:r>
          </w:p>
        </w:tc>
        <w:tc>
          <w:tcPr>
            <w:tcW w:w="1798" w:type="dxa"/>
          </w:tcPr>
          <w:p w14:paraId="5388E6F9" w14:textId="76325517" w:rsidR="00A06E5F" w:rsidRPr="009A5B6D" w:rsidRDefault="00A06E5F" w:rsidP="00E70D25">
            <w:pPr>
              <w:widowControl w:val="0"/>
              <w:jc w:val="both"/>
              <w:rPr>
                <w:bCs/>
                <w:sz w:val="22"/>
                <w:szCs w:val="22"/>
                <w:lang w:val="uk-UA" w:eastAsia="en-US"/>
              </w:rPr>
            </w:pPr>
            <w:r w:rsidRPr="009A5B6D">
              <w:rPr>
                <w:bCs/>
                <w:sz w:val="22"/>
                <w:szCs w:val="22"/>
                <w:lang w:val="uk-UA" w:eastAsia="en-US"/>
              </w:rPr>
              <w:t>гідроочищення</w:t>
            </w:r>
          </w:p>
        </w:tc>
        <w:tc>
          <w:tcPr>
            <w:tcW w:w="1276" w:type="dxa"/>
          </w:tcPr>
          <w:p w14:paraId="4611BDFE" w14:textId="587B97BD" w:rsidR="00A06E5F" w:rsidRPr="009A5B6D" w:rsidRDefault="00A06E5F" w:rsidP="00E70D25">
            <w:pPr>
              <w:widowControl w:val="0"/>
              <w:jc w:val="center"/>
              <w:rPr>
                <w:bCs/>
                <w:sz w:val="22"/>
                <w:szCs w:val="22"/>
                <w:lang w:val="uk-UA" w:eastAsia="en-US"/>
              </w:rPr>
            </w:pPr>
            <w:r w:rsidRPr="009A5B6D">
              <w:rPr>
                <w:bCs/>
                <w:sz w:val="22"/>
                <w:szCs w:val="22"/>
                <w:lang w:val="en-US" w:eastAsia="en-US"/>
              </w:rPr>
              <w:t>HVO</w:t>
            </w:r>
          </w:p>
        </w:tc>
        <w:tc>
          <w:tcPr>
            <w:tcW w:w="1985" w:type="dxa"/>
          </w:tcPr>
          <w:p w14:paraId="31B28374" w14:textId="0C5AA8A2" w:rsidR="00A06E5F" w:rsidRPr="009A5B6D" w:rsidRDefault="00D96CD7" w:rsidP="00E70D25">
            <w:pPr>
              <w:widowControl w:val="0"/>
              <w:jc w:val="center"/>
              <w:rPr>
                <w:bCs/>
                <w:sz w:val="22"/>
                <w:szCs w:val="22"/>
                <w:lang w:val="uk-UA" w:eastAsia="en-US"/>
              </w:rPr>
            </w:pPr>
            <w:r w:rsidRPr="009A5B6D">
              <w:rPr>
                <w:bCs/>
                <w:sz w:val="22"/>
                <w:szCs w:val="22"/>
                <w:lang w:val="uk-UA" w:eastAsia="en-US"/>
              </w:rPr>
              <w:t>талова олія</w:t>
            </w:r>
          </w:p>
        </w:tc>
        <w:tc>
          <w:tcPr>
            <w:tcW w:w="1559" w:type="dxa"/>
          </w:tcPr>
          <w:p w14:paraId="2869CC3D" w14:textId="1AA3113E" w:rsidR="00A06E5F" w:rsidRPr="009A5B6D" w:rsidRDefault="0084586D" w:rsidP="00E70D25">
            <w:pPr>
              <w:widowControl w:val="0"/>
              <w:jc w:val="center"/>
              <w:rPr>
                <w:bCs/>
                <w:sz w:val="22"/>
                <w:szCs w:val="22"/>
                <w:lang w:val="uk-UA" w:eastAsia="en-US"/>
              </w:rPr>
            </w:pPr>
            <w:r w:rsidRPr="009A5B6D">
              <w:rPr>
                <w:bCs/>
                <w:sz w:val="22"/>
                <w:szCs w:val="22"/>
                <w:lang w:val="uk-UA" w:eastAsia="en-US"/>
              </w:rPr>
              <w:t>115</w:t>
            </w:r>
          </w:p>
        </w:tc>
        <w:tc>
          <w:tcPr>
            <w:tcW w:w="1410" w:type="dxa"/>
          </w:tcPr>
          <w:p w14:paraId="7DCD047E" w14:textId="7CD92F44" w:rsidR="00A06E5F" w:rsidRPr="009A5B6D" w:rsidRDefault="0084586D" w:rsidP="00E70D25">
            <w:pPr>
              <w:widowControl w:val="0"/>
              <w:jc w:val="center"/>
              <w:rPr>
                <w:bCs/>
                <w:sz w:val="22"/>
                <w:szCs w:val="22"/>
                <w:lang w:val="uk-UA" w:eastAsia="en-US"/>
              </w:rPr>
            </w:pPr>
            <w:r w:rsidRPr="009A5B6D">
              <w:rPr>
                <w:bCs/>
                <w:sz w:val="22"/>
                <w:szCs w:val="22"/>
                <w:lang w:val="uk-UA" w:eastAsia="en-US"/>
              </w:rPr>
              <w:t>2015</w:t>
            </w:r>
          </w:p>
        </w:tc>
      </w:tr>
      <w:tr w:rsidR="00A06E5F" w:rsidRPr="009A5B6D" w14:paraId="4912539F" w14:textId="77777777" w:rsidTr="00D96CD7">
        <w:tc>
          <w:tcPr>
            <w:tcW w:w="1599" w:type="dxa"/>
          </w:tcPr>
          <w:p w14:paraId="069FE10D" w14:textId="5F1EE5E8" w:rsidR="00A06E5F" w:rsidRPr="009A5B6D" w:rsidRDefault="00A06E5F" w:rsidP="00E70D25">
            <w:pPr>
              <w:widowControl w:val="0"/>
              <w:jc w:val="both"/>
              <w:rPr>
                <w:bCs/>
                <w:sz w:val="22"/>
                <w:szCs w:val="22"/>
                <w:lang w:val="uk-UA" w:eastAsia="en-US"/>
              </w:rPr>
            </w:pPr>
            <w:r w:rsidRPr="009A5B6D">
              <w:rPr>
                <w:bCs/>
                <w:sz w:val="22"/>
                <w:szCs w:val="22"/>
                <w:lang w:val="uk-UA" w:eastAsia="en-US"/>
              </w:rPr>
              <w:t>Фінляндія</w:t>
            </w:r>
          </w:p>
        </w:tc>
        <w:tc>
          <w:tcPr>
            <w:tcW w:w="1798" w:type="dxa"/>
          </w:tcPr>
          <w:p w14:paraId="307B4A48" w14:textId="225B7602" w:rsidR="00A06E5F" w:rsidRPr="009A5B6D" w:rsidRDefault="00A06E5F" w:rsidP="00E70D25">
            <w:pPr>
              <w:widowControl w:val="0"/>
              <w:jc w:val="both"/>
              <w:rPr>
                <w:bCs/>
                <w:sz w:val="22"/>
                <w:szCs w:val="22"/>
                <w:lang w:val="uk-UA" w:eastAsia="en-US"/>
              </w:rPr>
            </w:pPr>
            <w:r w:rsidRPr="009A5B6D">
              <w:rPr>
                <w:bCs/>
                <w:sz w:val="22"/>
                <w:szCs w:val="22"/>
                <w:lang w:val="uk-UA" w:eastAsia="en-US"/>
              </w:rPr>
              <w:t>гідроліз/</w:t>
            </w:r>
          </w:p>
          <w:p w14:paraId="3E896213" w14:textId="395E00A1" w:rsidR="00A06E5F" w:rsidRPr="009A5B6D" w:rsidRDefault="00A06E5F" w:rsidP="00E70D25">
            <w:pPr>
              <w:widowControl w:val="0"/>
              <w:jc w:val="both"/>
              <w:rPr>
                <w:bCs/>
                <w:sz w:val="22"/>
                <w:szCs w:val="22"/>
                <w:lang w:val="uk-UA" w:eastAsia="en-US"/>
              </w:rPr>
            </w:pPr>
            <w:r w:rsidRPr="009A5B6D">
              <w:rPr>
                <w:bCs/>
                <w:sz w:val="22"/>
                <w:szCs w:val="22"/>
                <w:lang w:val="uk-UA" w:eastAsia="en-US"/>
              </w:rPr>
              <w:t>ферментація*</w:t>
            </w:r>
          </w:p>
        </w:tc>
        <w:tc>
          <w:tcPr>
            <w:tcW w:w="1276" w:type="dxa"/>
          </w:tcPr>
          <w:p w14:paraId="37844F24" w14:textId="65B724CB" w:rsidR="00A06E5F" w:rsidRPr="009A5B6D" w:rsidRDefault="00A06E5F" w:rsidP="00E70D25">
            <w:pPr>
              <w:widowControl w:val="0"/>
              <w:jc w:val="center"/>
              <w:rPr>
                <w:bCs/>
                <w:sz w:val="22"/>
                <w:szCs w:val="22"/>
                <w:lang w:val="uk-UA" w:eastAsia="en-US"/>
              </w:rPr>
            </w:pPr>
            <w:r w:rsidRPr="009A5B6D">
              <w:rPr>
                <w:bCs/>
                <w:sz w:val="22"/>
                <w:szCs w:val="22"/>
                <w:lang w:val="uk-UA" w:eastAsia="en-US"/>
              </w:rPr>
              <w:t>етанол</w:t>
            </w:r>
          </w:p>
        </w:tc>
        <w:tc>
          <w:tcPr>
            <w:tcW w:w="1985" w:type="dxa"/>
          </w:tcPr>
          <w:p w14:paraId="69DCE28E" w14:textId="62DBBEC4" w:rsidR="00A06E5F" w:rsidRPr="009A5B6D" w:rsidRDefault="00D96CD7" w:rsidP="00E70D25">
            <w:pPr>
              <w:widowControl w:val="0"/>
              <w:jc w:val="center"/>
              <w:rPr>
                <w:bCs/>
                <w:sz w:val="22"/>
                <w:szCs w:val="22"/>
                <w:lang w:val="uk-UA" w:eastAsia="en-US"/>
              </w:rPr>
            </w:pPr>
            <w:r w:rsidRPr="009A5B6D">
              <w:rPr>
                <w:bCs/>
                <w:sz w:val="22"/>
                <w:szCs w:val="22"/>
                <w:lang w:val="uk-UA" w:eastAsia="en-US"/>
              </w:rPr>
              <w:t>деревна тирса</w:t>
            </w:r>
          </w:p>
        </w:tc>
        <w:tc>
          <w:tcPr>
            <w:tcW w:w="1559" w:type="dxa"/>
          </w:tcPr>
          <w:p w14:paraId="59EC508E" w14:textId="75B087B2" w:rsidR="00A06E5F" w:rsidRPr="009A5B6D" w:rsidRDefault="0084586D" w:rsidP="00E70D25">
            <w:pPr>
              <w:widowControl w:val="0"/>
              <w:jc w:val="center"/>
              <w:rPr>
                <w:bCs/>
                <w:sz w:val="22"/>
                <w:szCs w:val="22"/>
                <w:lang w:val="uk-UA" w:eastAsia="en-US"/>
              </w:rPr>
            </w:pPr>
            <w:r w:rsidRPr="009A5B6D">
              <w:rPr>
                <w:bCs/>
                <w:sz w:val="22"/>
                <w:szCs w:val="22"/>
                <w:lang w:val="uk-UA" w:eastAsia="en-US"/>
              </w:rPr>
              <w:t>10</w:t>
            </w:r>
          </w:p>
        </w:tc>
        <w:tc>
          <w:tcPr>
            <w:tcW w:w="1410" w:type="dxa"/>
          </w:tcPr>
          <w:p w14:paraId="59DB31CC" w14:textId="1052A4FD" w:rsidR="00A06E5F" w:rsidRPr="009A5B6D" w:rsidRDefault="0084586D" w:rsidP="00E70D25">
            <w:pPr>
              <w:widowControl w:val="0"/>
              <w:jc w:val="center"/>
              <w:rPr>
                <w:bCs/>
                <w:sz w:val="22"/>
                <w:szCs w:val="22"/>
                <w:lang w:val="uk-UA" w:eastAsia="en-US"/>
              </w:rPr>
            </w:pPr>
            <w:r w:rsidRPr="009A5B6D">
              <w:rPr>
                <w:bCs/>
                <w:sz w:val="22"/>
                <w:szCs w:val="22"/>
                <w:lang w:val="uk-UA" w:eastAsia="en-US"/>
              </w:rPr>
              <w:t>2017</w:t>
            </w:r>
          </w:p>
        </w:tc>
      </w:tr>
      <w:tr w:rsidR="00D96CD7" w:rsidRPr="009A5B6D" w14:paraId="24DA6C85" w14:textId="77777777" w:rsidTr="00D96CD7">
        <w:tc>
          <w:tcPr>
            <w:tcW w:w="1599" w:type="dxa"/>
          </w:tcPr>
          <w:p w14:paraId="5BA8300F" w14:textId="692273C0" w:rsidR="00D96CD7" w:rsidRPr="009A5B6D" w:rsidRDefault="00D96CD7" w:rsidP="00E70D25">
            <w:pPr>
              <w:widowControl w:val="0"/>
              <w:jc w:val="both"/>
              <w:rPr>
                <w:bCs/>
                <w:sz w:val="22"/>
                <w:szCs w:val="22"/>
                <w:lang w:val="uk-UA" w:eastAsia="en-US"/>
              </w:rPr>
            </w:pPr>
            <w:r w:rsidRPr="009A5B6D">
              <w:rPr>
                <w:bCs/>
                <w:sz w:val="22"/>
                <w:szCs w:val="22"/>
                <w:lang w:val="uk-UA" w:eastAsia="en-US"/>
              </w:rPr>
              <w:t>Нідерланди</w:t>
            </w:r>
          </w:p>
        </w:tc>
        <w:tc>
          <w:tcPr>
            <w:tcW w:w="1798" w:type="dxa"/>
          </w:tcPr>
          <w:p w14:paraId="5E488624" w14:textId="199B52F1" w:rsidR="00D96CD7" w:rsidRPr="009A5B6D" w:rsidRDefault="00D96CD7" w:rsidP="00E70D25">
            <w:pPr>
              <w:widowControl w:val="0"/>
              <w:jc w:val="both"/>
              <w:rPr>
                <w:bCs/>
                <w:sz w:val="22"/>
                <w:szCs w:val="22"/>
                <w:lang w:val="uk-UA" w:eastAsia="en-US"/>
              </w:rPr>
            </w:pPr>
            <w:r w:rsidRPr="009A5B6D">
              <w:rPr>
                <w:bCs/>
                <w:sz w:val="22"/>
                <w:szCs w:val="22"/>
                <w:lang w:val="uk-UA" w:eastAsia="en-US"/>
              </w:rPr>
              <w:t>гідроочищення</w:t>
            </w:r>
          </w:p>
        </w:tc>
        <w:tc>
          <w:tcPr>
            <w:tcW w:w="1276" w:type="dxa"/>
          </w:tcPr>
          <w:p w14:paraId="1F4EF2FD" w14:textId="3F026C5B" w:rsidR="00D96CD7" w:rsidRPr="009A5B6D" w:rsidRDefault="00D96CD7" w:rsidP="00E70D25">
            <w:pPr>
              <w:widowControl w:val="0"/>
              <w:jc w:val="center"/>
              <w:rPr>
                <w:bCs/>
                <w:sz w:val="22"/>
                <w:szCs w:val="22"/>
                <w:lang w:val="uk-UA" w:eastAsia="en-US"/>
              </w:rPr>
            </w:pPr>
            <w:r w:rsidRPr="009A5B6D">
              <w:rPr>
                <w:bCs/>
                <w:sz w:val="22"/>
                <w:szCs w:val="22"/>
                <w:lang w:val="en-US" w:eastAsia="en-US"/>
              </w:rPr>
              <w:t>HVO</w:t>
            </w:r>
          </w:p>
        </w:tc>
        <w:tc>
          <w:tcPr>
            <w:tcW w:w="1985" w:type="dxa"/>
          </w:tcPr>
          <w:p w14:paraId="32CC9A92" w14:textId="3BBD4519" w:rsidR="00D96CD7" w:rsidRPr="009A5B6D" w:rsidRDefault="00D96CD7" w:rsidP="00E70D25">
            <w:pPr>
              <w:widowControl w:val="0"/>
              <w:jc w:val="center"/>
              <w:rPr>
                <w:bCs/>
                <w:sz w:val="22"/>
                <w:szCs w:val="22"/>
                <w:lang w:val="uk-UA" w:eastAsia="en-US"/>
              </w:rPr>
            </w:pPr>
            <w:r w:rsidRPr="009A5B6D">
              <w:rPr>
                <w:bCs/>
                <w:sz w:val="22"/>
                <w:szCs w:val="22"/>
                <w:lang w:val="uk-UA" w:eastAsia="en-US"/>
              </w:rPr>
              <w:t>олії та жири</w:t>
            </w:r>
          </w:p>
        </w:tc>
        <w:tc>
          <w:tcPr>
            <w:tcW w:w="1559" w:type="dxa"/>
          </w:tcPr>
          <w:p w14:paraId="6E529187" w14:textId="75CF9BD8" w:rsidR="00D96CD7" w:rsidRPr="009A5B6D" w:rsidRDefault="00DA0922" w:rsidP="00E70D25">
            <w:pPr>
              <w:widowControl w:val="0"/>
              <w:jc w:val="center"/>
              <w:rPr>
                <w:bCs/>
                <w:sz w:val="22"/>
                <w:szCs w:val="22"/>
                <w:lang w:val="uk-UA" w:eastAsia="en-US"/>
              </w:rPr>
            </w:pPr>
            <w:r w:rsidRPr="009A5B6D">
              <w:rPr>
                <w:bCs/>
                <w:sz w:val="22"/>
                <w:szCs w:val="22"/>
                <w:lang w:val="uk-UA" w:eastAsia="en-US"/>
              </w:rPr>
              <w:t>1280</w:t>
            </w:r>
          </w:p>
        </w:tc>
        <w:tc>
          <w:tcPr>
            <w:tcW w:w="1410" w:type="dxa"/>
          </w:tcPr>
          <w:p w14:paraId="70A5D49D" w14:textId="389A9F6F" w:rsidR="00D96CD7" w:rsidRPr="009A5B6D" w:rsidRDefault="00DA0922" w:rsidP="00E70D25">
            <w:pPr>
              <w:widowControl w:val="0"/>
              <w:jc w:val="center"/>
              <w:rPr>
                <w:bCs/>
                <w:sz w:val="22"/>
                <w:szCs w:val="22"/>
                <w:lang w:val="uk-UA" w:eastAsia="en-US"/>
              </w:rPr>
            </w:pPr>
            <w:r w:rsidRPr="009A5B6D">
              <w:rPr>
                <w:bCs/>
                <w:sz w:val="22"/>
                <w:szCs w:val="22"/>
                <w:lang w:val="uk-UA" w:eastAsia="en-US"/>
              </w:rPr>
              <w:t>2011</w:t>
            </w:r>
          </w:p>
        </w:tc>
      </w:tr>
      <w:tr w:rsidR="00D96CD7" w:rsidRPr="009A5B6D" w14:paraId="4F589008" w14:textId="77777777" w:rsidTr="00D96CD7">
        <w:tc>
          <w:tcPr>
            <w:tcW w:w="1599" w:type="dxa"/>
          </w:tcPr>
          <w:p w14:paraId="6B9EF7BE" w14:textId="03CF1FB9" w:rsidR="00D96CD7" w:rsidRPr="009A5B6D" w:rsidRDefault="00D96CD7" w:rsidP="00E70D25">
            <w:pPr>
              <w:widowControl w:val="0"/>
              <w:jc w:val="both"/>
              <w:rPr>
                <w:bCs/>
                <w:sz w:val="22"/>
                <w:szCs w:val="22"/>
                <w:lang w:val="uk-UA" w:eastAsia="en-US"/>
              </w:rPr>
            </w:pPr>
            <w:r w:rsidRPr="009A5B6D">
              <w:rPr>
                <w:bCs/>
                <w:sz w:val="22"/>
                <w:szCs w:val="22"/>
                <w:lang w:val="uk-UA" w:eastAsia="en-US"/>
              </w:rPr>
              <w:t>Нідерланди</w:t>
            </w:r>
          </w:p>
        </w:tc>
        <w:tc>
          <w:tcPr>
            <w:tcW w:w="1798" w:type="dxa"/>
          </w:tcPr>
          <w:p w14:paraId="4C9325D7" w14:textId="374FBC88" w:rsidR="00D96CD7" w:rsidRPr="009A5B6D" w:rsidRDefault="00D96CD7" w:rsidP="00E70D25">
            <w:pPr>
              <w:widowControl w:val="0"/>
              <w:jc w:val="both"/>
              <w:rPr>
                <w:bCs/>
                <w:sz w:val="22"/>
                <w:szCs w:val="22"/>
                <w:lang w:val="uk-UA" w:eastAsia="en-US"/>
              </w:rPr>
            </w:pPr>
            <w:r w:rsidRPr="009A5B6D">
              <w:rPr>
                <w:bCs/>
                <w:sz w:val="22"/>
                <w:szCs w:val="22"/>
                <w:lang w:val="uk-UA" w:eastAsia="en-US"/>
              </w:rPr>
              <w:t>Піроліз/синтез Фішера-Тропша</w:t>
            </w:r>
          </w:p>
        </w:tc>
        <w:tc>
          <w:tcPr>
            <w:tcW w:w="1276" w:type="dxa"/>
          </w:tcPr>
          <w:p w14:paraId="441F7FA6" w14:textId="6FCB4F89" w:rsidR="00D96CD7" w:rsidRPr="009A5B6D" w:rsidRDefault="00D96CD7" w:rsidP="00E70D25">
            <w:pPr>
              <w:widowControl w:val="0"/>
              <w:jc w:val="center"/>
              <w:rPr>
                <w:bCs/>
                <w:sz w:val="22"/>
                <w:szCs w:val="22"/>
                <w:lang w:val="uk-UA" w:eastAsia="en-US"/>
              </w:rPr>
            </w:pPr>
            <w:r w:rsidRPr="009A5B6D">
              <w:rPr>
                <w:bCs/>
                <w:sz w:val="22"/>
                <w:szCs w:val="22"/>
                <w:lang w:val="uk-UA" w:eastAsia="en-US"/>
              </w:rPr>
              <w:t>метанол</w:t>
            </w:r>
          </w:p>
        </w:tc>
        <w:tc>
          <w:tcPr>
            <w:tcW w:w="1985" w:type="dxa"/>
          </w:tcPr>
          <w:p w14:paraId="0770D548" w14:textId="1B5EAB31" w:rsidR="00D96CD7" w:rsidRPr="009A5B6D" w:rsidRDefault="00D96CD7" w:rsidP="00E70D25">
            <w:pPr>
              <w:widowControl w:val="0"/>
              <w:jc w:val="center"/>
              <w:rPr>
                <w:bCs/>
                <w:sz w:val="22"/>
                <w:szCs w:val="22"/>
                <w:lang w:val="uk-UA" w:eastAsia="en-US"/>
              </w:rPr>
            </w:pPr>
            <w:r w:rsidRPr="009A5B6D">
              <w:rPr>
                <w:bCs/>
                <w:sz w:val="22"/>
                <w:szCs w:val="22"/>
                <w:lang w:val="uk-UA" w:eastAsia="en-US"/>
              </w:rPr>
              <w:t>біогаз</w:t>
            </w:r>
          </w:p>
        </w:tc>
        <w:tc>
          <w:tcPr>
            <w:tcW w:w="1559" w:type="dxa"/>
          </w:tcPr>
          <w:p w14:paraId="0EB2D3B2" w14:textId="0F85670D" w:rsidR="00D96CD7" w:rsidRPr="009A5B6D" w:rsidRDefault="00DA0922" w:rsidP="00E70D25">
            <w:pPr>
              <w:widowControl w:val="0"/>
              <w:jc w:val="center"/>
              <w:rPr>
                <w:bCs/>
                <w:sz w:val="22"/>
                <w:szCs w:val="22"/>
                <w:lang w:val="uk-UA" w:eastAsia="en-US"/>
              </w:rPr>
            </w:pPr>
            <w:r w:rsidRPr="009A5B6D">
              <w:rPr>
                <w:bCs/>
                <w:sz w:val="22"/>
                <w:szCs w:val="22"/>
                <w:lang w:val="uk-UA" w:eastAsia="en-US"/>
              </w:rPr>
              <w:t>250</w:t>
            </w:r>
          </w:p>
        </w:tc>
        <w:tc>
          <w:tcPr>
            <w:tcW w:w="1410" w:type="dxa"/>
          </w:tcPr>
          <w:p w14:paraId="7D701167" w14:textId="1EE349CE" w:rsidR="00D96CD7" w:rsidRPr="009A5B6D" w:rsidRDefault="00DA0922" w:rsidP="00E70D25">
            <w:pPr>
              <w:widowControl w:val="0"/>
              <w:jc w:val="center"/>
              <w:rPr>
                <w:bCs/>
                <w:sz w:val="22"/>
                <w:szCs w:val="22"/>
                <w:lang w:val="uk-UA" w:eastAsia="en-US"/>
              </w:rPr>
            </w:pPr>
            <w:r w:rsidRPr="009A5B6D">
              <w:rPr>
                <w:bCs/>
                <w:sz w:val="22"/>
                <w:szCs w:val="22"/>
                <w:lang w:val="uk-UA" w:eastAsia="en-US"/>
              </w:rPr>
              <w:t>2010</w:t>
            </w:r>
          </w:p>
        </w:tc>
      </w:tr>
      <w:tr w:rsidR="00D96CD7" w:rsidRPr="009A5B6D" w14:paraId="784F3A17" w14:textId="77777777" w:rsidTr="00D96CD7">
        <w:tc>
          <w:tcPr>
            <w:tcW w:w="1599" w:type="dxa"/>
          </w:tcPr>
          <w:p w14:paraId="6A81E9EE" w14:textId="69BF86BB" w:rsidR="00D96CD7" w:rsidRPr="009A5B6D" w:rsidRDefault="00D96CD7" w:rsidP="00E70D25">
            <w:pPr>
              <w:widowControl w:val="0"/>
              <w:jc w:val="both"/>
              <w:rPr>
                <w:bCs/>
                <w:sz w:val="22"/>
                <w:szCs w:val="22"/>
                <w:lang w:val="uk-UA" w:eastAsia="en-US"/>
              </w:rPr>
            </w:pPr>
            <w:r w:rsidRPr="009A5B6D">
              <w:rPr>
                <w:bCs/>
                <w:sz w:val="22"/>
                <w:szCs w:val="22"/>
                <w:lang w:val="uk-UA" w:eastAsia="en-US"/>
              </w:rPr>
              <w:t>Іспанія</w:t>
            </w:r>
          </w:p>
        </w:tc>
        <w:tc>
          <w:tcPr>
            <w:tcW w:w="1798" w:type="dxa"/>
          </w:tcPr>
          <w:p w14:paraId="14F83178" w14:textId="0878547B" w:rsidR="00D96CD7" w:rsidRPr="009A5B6D" w:rsidRDefault="00D96CD7" w:rsidP="00E70D25">
            <w:pPr>
              <w:widowControl w:val="0"/>
              <w:jc w:val="both"/>
              <w:rPr>
                <w:bCs/>
                <w:sz w:val="22"/>
                <w:szCs w:val="22"/>
                <w:lang w:val="uk-UA" w:eastAsia="en-US"/>
              </w:rPr>
            </w:pPr>
            <w:r w:rsidRPr="009A5B6D">
              <w:rPr>
                <w:bCs/>
                <w:sz w:val="22"/>
                <w:szCs w:val="22"/>
                <w:lang w:val="uk-UA" w:eastAsia="en-US"/>
              </w:rPr>
              <w:t>гідроочищення</w:t>
            </w:r>
          </w:p>
        </w:tc>
        <w:tc>
          <w:tcPr>
            <w:tcW w:w="1276" w:type="dxa"/>
          </w:tcPr>
          <w:p w14:paraId="108E928D" w14:textId="32096783" w:rsidR="00D96CD7" w:rsidRPr="009A5B6D" w:rsidRDefault="00D96CD7" w:rsidP="00E70D25">
            <w:pPr>
              <w:widowControl w:val="0"/>
              <w:jc w:val="center"/>
              <w:rPr>
                <w:bCs/>
                <w:sz w:val="22"/>
                <w:szCs w:val="22"/>
                <w:lang w:val="uk-UA" w:eastAsia="en-US"/>
              </w:rPr>
            </w:pPr>
            <w:r w:rsidRPr="009A5B6D">
              <w:rPr>
                <w:bCs/>
                <w:sz w:val="22"/>
                <w:szCs w:val="22"/>
                <w:lang w:val="en-US" w:eastAsia="en-US"/>
              </w:rPr>
              <w:t>HVO</w:t>
            </w:r>
          </w:p>
        </w:tc>
        <w:tc>
          <w:tcPr>
            <w:tcW w:w="1985" w:type="dxa"/>
          </w:tcPr>
          <w:p w14:paraId="4898E96A" w14:textId="7D04C068" w:rsidR="00D96CD7" w:rsidRPr="009A5B6D" w:rsidRDefault="00D96CD7" w:rsidP="00E70D25">
            <w:pPr>
              <w:widowControl w:val="0"/>
              <w:jc w:val="center"/>
              <w:rPr>
                <w:bCs/>
                <w:sz w:val="22"/>
                <w:szCs w:val="22"/>
                <w:lang w:val="uk-UA" w:eastAsia="en-US"/>
              </w:rPr>
            </w:pPr>
            <w:r w:rsidRPr="009A5B6D">
              <w:rPr>
                <w:bCs/>
                <w:sz w:val="22"/>
                <w:szCs w:val="22"/>
                <w:lang w:val="uk-UA" w:eastAsia="en-US"/>
              </w:rPr>
              <w:t>пальмова олія</w:t>
            </w:r>
          </w:p>
        </w:tc>
        <w:tc>
          <w:tcPr>
            <w:tcW w:w="1559" w:type="dxa"/>
          </w:tcPr>
          <w:p w14:paraId="3EDA0CAE" w14:textId="77777777" w:rsidR="00DA0922" w:rsidRPr="009A5B6D" w:rsidRDefault="00DA0922" w:rsidP="00E70D25">
            <w:pPr>
              <w:widowControl w:val="0"/>
              <w:jc w:val="center"/>
              <w:rPr>
                <w:bCs/>
                <w:sz w:val="22"/>
                <w:szCs w:val="22"/>
                <w:lang w:val="uk-UA" w:eastAsia="en-US"/>
              </w:rPr>
            </w:pPr>
            <w:r w:rsidRPr="009A5B6D">
              <w:rPr>
                <w:bCs/>
                <w:sz w:val="22"/>
                <w:szCs w:val="22"/>
                <w:lang w:val="uk-UA" w:eastAsia="en-US"/>
              </w:rPr>
              <w:t xml:space="preserve">945 </w:t>
            </w:r>
          </w:p>
          <w:p w14:paraId="2D3F5835" w14:textId="4E254886" w:rsidR="00D96CD7" w:rsidRPr="009A5B6D" w:rsidRDefault="00DA0922" w:rsidP="00E70D25">
            <w:pPr>
              <w:widowControl w:val="0"/>
              <w:jc w:val="center"/>
              <w:rPr>
                <w:bCs/>
                <w:sz w:val="22"/>
                <w:szCs w:val="22"/>
                <w:lang w:val="uk-UA" w:eastAsia="en-US"/>
              </w:rPr>
            </w:pPr>
            <w:r w:rsidRPr="009A5B6D">
              <w:rPr>
                <w:bCs/>
                <w:sz w:val="22"/>
                <w:szCs w:val="22"/>
                <w:lang w:val="uk-UA" w:eastAsia="en-US"/>
              </w:rPr>
              <w:t>(7 установок)</w:t>
            </w:r>
          </w:p>
        </w:tc>
        <w:tc>
          <w:tcPr>
            <w:tcW w:w="1410" w:type="dxa"/>
          </w:tcPr>
          <w:p w14:paraId="7227B4C7" w14:textId="075C2A4E" w:rsidR="00D96CD7" w:rsidRPr="009A5B6D" w:rsidRDefault="00DA0922" w:rsidP="00E70D25">
            <w:pPr>
              <w:widowControl w:val="0"/>
              <w:jc w:val="center"/>
              <w:rPr>
                <w:bCs/>
                <w:sz w:val="22"/>
                <w:szCs w:val="22"/>
                <w:lang w:val="uk-UA" w:eastAsia="en-US"/>
              </w:rPr>
            </w:pPr>
            <w:r w:rsidRPr="009A5B6D">
              <w:rPr>
                <w:bCs/>
                <w:sz w:val="22"/>
                <w:szCs w:val="22"/>
                <w:lang w:val="uk-UA" w:eastAsia="en-US"/>
              </w:rPr>
              <w:t>2011</w:t>
            </w:r>
          </w:p>
        </w:tc>
      </w:tr>
      <w:tr w:rsidR="00D96CD7" w:rsidRPr="009A5B6D" w14:paraId="0572B017" w14:textId="77777777" w:rsidTr="00D96CD7">
        <w:tc>
          <w:tcPr>
            <w:tcW w:w="1599" w:type="dxa"/>
          </w:tcPr>
          <w:p w14:paraId="127471AE" w14:textId="3C00A74B" w:rsidR="00D96CD7" w:rsidRPr="009A5B6D" w:rsidRDefault="00D96CD7" w:rsidP="00E70D25">
            <w:pPr>
              <w:widowControl w:val="0"/>
              <w:jc w:val="both"/>
              <w:rPr>
                <w:bCs/>
                <w:sz w:val="22"/>
                <w:szCs w:val="22"/>
                <w:lang w:val="uk-UA" w:eastAsia="en-US"/>
              </w:rPr>
            </w:pPr>
            <w:r w:rsidRPr="009A5B6D">
              <w:rPr>
                <w:bCs/>
                <w:sz w:val="22"/>
                <w:szCs w:val="22"/>
                <w:lang w:val="uk-UA" w:eastAsia="en-US"/>
              </w:rPr>
              <w:t>Італія</w:t>
            </w:r>
          </w:p>
        </w:tc>
        <w:tc>
          <w:tcPr>
            <w:tcW w:w="1798" w:type="dxa"/>
          </w:tcPr>
          <w:p w14:paraId="1839D44A" w14:textId="76D62B25" w:rsidR="00D96CD7" w:rsidRPr="009A5B6D" w:rsidRDefault="00D96CD7" w:rsidP="00E70D25">
            <w:pPr>
              <w:widowControl w:val="0"/>
              <w:jc w:val="both"/>
              <w:rPr>
                <w:bCs/>
                <w:sz w:val="22"/>
                <w:szCs w:val="22"/>
                <w:lang w:val="uk-UA" w:eastAsia="en-US"/>
              </w:rPr>
            </w:pPr>
            <w:r w:rsidRPr="009A5B6D">
              <w:rPr>
                <w:bCs/>
                <w:sz w:val="22"/>
                <w:szCs w:val="22"/>
                <w:lang w:val="uk-UA" w:eastAsia="en-US"/>
              </w:rPr>
              <w:t>гідроочищення</w:t>
            </w:r>
          </w:p>
        </w:tc>
        <w:tc>
          <w:tcPr>
            <w:tcW w:w="1276" w:type="dxa"/>
          </w:tcPr>
          <w:p w14:paraId="7D91D792" w14:textId="1279F90D" w:rsidR="00D96CD7" w:rsidRPr="009A5B6D" w:rsidRDefault="00D96CD7" w:rsidP="00E70D25">
            <w:pPr>
              <w:widowControl w:val="0"/>
              <w:jc w:val="center"/>
              <w:rPr>
                <w:bCs/>
                <w:sz w:val="22"/>
                <w:szCs w:val="22"/>
                <w:lang w:val="uk-UA" w:eastAsia="en-US"/>
              </w:rPr>
            </w:pPr>
            <w:r w:rsidRPr="009A5B6D">
              <w:rPr>
                <w:bCs/>
                <w:sz w:val="22"/>
                <w:szCs w:val="22"/>
                <w:lang w:val="en-US" w:eastAsia="en-US"/>
              </w:rPr>
              <w:t>HVO</w:t>
            </w:r>
          </w:p>
        </w:tc>
        <w:tc>
          <w:tcPr>
            <w:tcW w:w="1985" w:type="dxa"/>
          </w:tcPr>
          <w:p w14:paraId="5F08012F" w14:textId="4B0060C2" w:rsidR="00D96CD7" w:rsidRPr="009A5B6D" w:rsidRDefault="00D96CD7" w:rsidP="00E70D25">
            <w:pPr>
              <w:widowControl w:val="0"/>
              <w:jc w:val="center"/>
              <w:rPr>
                <w:bCs/>
                <w:sz w:val="22"/>
                <w:szCs w:val="22"/>
                <w:lang w:val="uk-UA" w:eastAsia="en-US"/>
              </w:rPr>
            </w:pPr>
            <w:r w:rsidRPr="009A5B6D">
              <w:rPr>
                <w:bCs/>
                <w:sz w:val="22"/>
                <w:szCs w:val="22"/>
                <w:lang w:val="uk-UA" w:eastAsia="en-US"/>
              </w:rPr>
              <w:t>пальмова олія, інші олії та жири</w:t>
            </w:r>
          </w:p>
        </w:tc>
        <w:tc>
          <w:tcPr>
            <w:tcW w:w="1559" w:type="dxa"/>
          </w:tcPr>
          <w:p w14:paraId="51225FBC" w14:textId="1AE977EF" w:rsidR="00D96CD7" w:rsidRPr="009A5B6D" w:rsidRDefault="0084586D" w:rsidP="00E70D25">
            <w:pPr>
              <w:widowControl w:val="0"/>
              <w:jc w:val="center"/>
              <w:rPr>
                <w:bCs/>
                <w:sz w:val="22"/>
                <w:szCs w:val="22"/>
                <w:lang w:val="uk-UA" w:eastAsia="en-US"/>
              </w:rPr>
            </w:pPr>
            <w:r w:rsidRPr="009A5B6D">
              <w:rPr>
                <w:bCs/>
                <w:sz w:val="22"/>
                <w:szCs w:val="22"/>
                <w:lang w:val="uk-UA" w:eastAsia="en-US"/>
              </w:rPr>
              <w:t>960</w:t>
            </w:r>
          </w:p>
        </w:tc>
        <w:tc>
          <w:tcPr>
            <w:tcW w:w="1410" w:type="dxa"/>
          </w:tcPr>
          <w:p w14:paraId="2EBF8C36" w14:textId="09AABA0F" w:rsidR="00D96CD7" w:rsidRPr="009A5B6D" w:rsidRDefault="0084586D" w:rsidP="00E70D25">
            <w:pPr>
              <w:widowControl w:val="0"/>
              <w:jc w:val="center"/>
              <w:rPr>
                <w:bCs/>
                <w:sz w:val="22"/>
                <w:szCs w:val="22"/>
                <w:lang w:val="uk-UA" w:eastAsia="en-US"/>
              </w:rPr>
            </w:pPr>
            <w:r w:rsidRPr="009A5B6D">
              <w:rPr>
                <w:bCs/>
                <w:sz w:val="22"/>
                <w:szCs w:val="22"/>
                <w:lang w:val="uk-UA" w:eastAsia="en-US"/>
              </w:rPr>
              <w:t>2019</w:t>
            </w:r>
          </w:p>
        </w:tc>
      </w:tr>
      <w:tr w:rsidR="00D96CD7" w:rsidRPr="009A5B6D" w14:paraId="414718E3" w14:textId="77777777" w:rsidTr="00D96CD7">
        <w:tc>
          <w:tcPr>
            <w:tcW w:w="1599" w:type="dxa"/>
          </w:tcPr>
          <w:p w14:paraId="1BDA05E0" w14:textId="3F66EBBE" w:rsidR="00D96CD7" w:rsidRPr="009A5B6D" w:rsidRDefault="00D96CD7" w:rsidP="00D96CD7">
            <w:pPr>
              <w:widowControl w:val="0"/>
              <w:spacing w:line="312" w:lineRule="auto"/>
              <w:jc w:val="both"/>
              <w:rPr>
                <w:bCs/>
                <w:sz w:val="22"/>
                <w:szCs w:val="22"/>
                <w:lang w:val="uk-UA" w:eastAsia="en-US"/>
              </w:rPr>
            </w:pPr>
            <w:r w:rsidRPr="009A5B6D">
              <w:rPr>
                <w:bCs/>
                <w:sz w:val="22"/>
                <w:szCs w:val="22"/>
                <w:lang w:val="uk-UA" w:eastAsia="en-US"/>
              </w:rPr>
              <w:t>Італія</w:t>
            </w:r>
          </w:p>
        </w:tc>
        <w:tc>
          <w:tcPr>
            <w:tcW w:w="1798" w:type="dxa"/>
          </w:tcPr>
          <w:p w14:paraId="1620199A" w14:textId="305167EF" w:rsidR="00D96CD7" w:rsidRPr="009A5B6D" w:rsidRDefault="00D96CD7" w:rsidP="00D96CD7">
            <w:pPr>
              <w:widowControl w:val="0"/>
              <w:spacing w:line="312" w:lineRule="auto"/>
              <w:jc w:val="both"/>
              <w:rPr>
                <w:bCs/>
                <w:sz w:val="22"/>
                <w:szCs w:val="22"/>
                <w:lang w:val="uk-UA" w:eastAsia="en-US"/>
              </w:rPr>
            </w:pPr>
            <w:r w:rsidRPr="009A5B6D">
              <w:rPr>
                <w:bCs/>
                <w:sz w:val="22"/>
                <w:szCs w:val="22"/>
                <w:lang w:val="uk-UA" w:eastAsia="en-US"/>
              </w:rPr>
              <w:t>гідроочищення</w:t>
            </w:r>
          </w:p>
        </w:tc>
        <w:tc>
          <w:tcPr>
            <w:tcW w:w="1276" w:type="dxa"/>
          </w:tcPr>
          <w:p w14:paraId="6882D766" w14:textId="40C3D385" w:rsidR="00D96CD7" w:rsidRPr="009A5B6D" w:rsidRDefault="00D96CD7" w:rsidP="00D96CD7">
            <w:pPr>
              <w:widowControl w:val="0"/>
              <w:spacing w:line="312" w:lineRule="auto"/>
              <w:jc w:val="center"/>
              <w:rPr>
                <w:bCs/>
                <w:sz w:val="22"/>
                <w:szCs w:val="22"/>
                <w:lang w:val="uk-UA" w:eastAsia="en-US"/>
              </w:rPr>
            </w:pPr>
            <w:r w:rsidRPr="009A5B6D">
              <w:rPr>
                <w:bCs/>
                <w:sz w:val="22"/>
                <w:szCs w:val="22"/>
                <w:lang w:val="en-US" w:eastAsia="en-US"/>
              </w:rPr>
              <w:t>HVO</w:t>
            </w:r>
          </w:p>
        </w:tc>
        <w:tc>
          <w:tcPr>
            <w:tcW w:w="1985" w:type="dxa"/>
          </w:tcPr>
          <w:p w14:paraId="7E8E5591" w14:textId="1C18C330" w:rsidR="00D96CD7" w:rsidRPr="009A5B6D" w:rsidRDefault="00D96CD7" w:rsidP="00D96CD7">
            <w:pPr>
              <w:widowControl w:val="0"/>
              <w:spacing w:line="312" w:lineRule="auto"/>
              <w:jc w:val="center"/>
              <w:rPr>
                <w:bCs/>
                <w:sz w:val="22"/>
                <w:szCs w:val="22"/>
                <w:lang w:val="uk-UA" w:eastAsia="en-US"/>
              </w:rPr>
            </w:pPr>
            <w:r w:rsidRPr="009A5B6D">
              <w:rPr>
                <w:bCs/>
                <w:sz w:val="22"/>
                <w:szCs w:val="22"/>
                <w:lang w:val="uk-UA" w:eastAsia="en-US"/>
              </w:rPr>
              <w:t>пальмова олія</w:t>
            </w:r>
          </w:p>
        </w:tc>
        <w:tc>
          <w:tcPr>
            <w:tcW w:w="1559" w:type="dxa"/>
          </w:tcPr>
          <w:p w14:paraId="3575A2FF" w14:textId="6B16FEB9" w:rsidR="00D96CD7" w:rsidRPr="009A5B6D" w:rsidRDefault="0048226A" w:rsidP="00D96CD7">
            <w:pPr>
              <w:widowControl w:val="0"/>
              <w:spacing w:line="312" w:lineRule="auto"/>
              <w:jc w:val="center"/>
              <w:rPr>
                <w:bCs/>
                <w:sz w:val="22"/>
                <w:szCs w:val="22"/>
                <w:lang w:val="uk-UA" w:eastAsia="en-US"/>
              </w:rPr>
            </w:pPr>
            <w:r w:rsidRPr="009A5B6D">
              <w:rPr>
                <w:bCs/>
                <w:sz w:val="22"/>
                <w:szCs w:val="22"/>
                <w:lang w:val="uk-UA" w:eastAsia="en-US"/>
              </w:rPr>
              <w:t>465</w:t>
            </w:r>
          </w:p>
        </w:tc>
        <w:tc>
          <w:tcPr>
            <w:tcW w:w="1410" w:type="dxa"/>
          </w:tcPr>
          <w:p w14:paraId="7CFAEC45" w14:textId="6C36E51B" w:rsidR="00D96CD7" w:rsidRPr="009A5B6D" w:rsidRDefault="0048226A" w:rsidP="00D96CD7">
            <w:pPr>
              <w:widowControl w:val="0"/>
              <w:spacing w:line="312" w:lineRule="auto"/>
              <w:jc w:val="center"/>
              <w:rPr>
                <w:bCs/>
                <w:sz w:val="22"/>
                <w:szCs w:val="22"/>
                <w:lang w:val="uk-UA" w:eastAsia="en-US"/>
              </w:rPr>
            </w:pPr>
            <w:r w:rsidRPr="009A5B6D">
              <w:rPr>
                <w:bCs/>
                <w:sz w:val="22"/>
                <w:szCs w:val="22"/>
                <w:lang w:val="uk-UA" w:eastAsia="en-US"/>
              </w:rPr>
              <w:t>2014</w:t>
            </w:r>
          </w:p>
        </w:tc>
      </w:tr>
      <w:tr w:rsidR="00D96CD7" w:rsidRPr="009A5B6D" w14:paraId="46FB167A" w14:textId="77777777" w:rsidTr="00D96CD7">
        <w:tc>
          <w:tcPr>
            <w:tcW w:w="1599" w:type="dxa"/>
          </w:tcPr>
          <w:p w14:paraId="5F92A630" w14:textId="6A6EB887" w:rsidR="00D96CD7" w:rsidRPr="009A5B6D" w:rsidRDefault="00D96CD7" w:rsidP="00D96CD7">
            <w:pPr>
              <w:widowControl w:val="0"/>
              <w:spacing w:line="312" w:lineRule="auto"/>
              <w:jc w:val="both"/>
              <w:rPr>
                <w:bCs/>
                <w:sz w:val="22"/>
                <w:szCs w:val="22"/>
                <w:lang w:val="uk-UA" w:eastAsia="en-US"/>
              </w:rPr>
            </w:pPr>
            <w:r w:rsidRPr="009A5B6D">
              <w:rPr>
                <w:bCs/>
                <w:sz w:val="22"/>
                <w:szCs w:val="22"/>
                <w:lang w:val="uk-UA" w:eastAsia="en-US"/>
              </w:rPr>
              <w:t>Швеція</w:t>
            </w:r>
          </w:p>
        </w:tc>
        <w:tc>
          <w:tcPr>
            <w:tcW w:w="1798" w:type="dxa"/>
          </w:tcPr>
          <w:p w14:paraId="17FE6498" w14:textId="57FFC07B" w:rsidR="00D96CD7" w:rsidRPr="009A5B6D" w:rsidRDefault="00D96CD7" w:rsidP="00D96CD7">
            <w:pPr>
              <w:widowControl w:val="0"/>
              <w:spacing w:line="312" w:lineRule="auto"/>
              <w:jc w:val="both"/>
              <w:rPr>
                <w:bCs/>
                <w:sz w:val="22"/>
                <w:szCs w:val="22"/>
                <w:lang w:val="uk-UA" w:eastAsia="en-US"/>
              </w:rPr>
            </w:pPr>
            <w:r w:rsidRPr="009A5B6D">
              <w:rPr>
                <w:bCs/>
                <w:sz w:val="22"/>
                <w:szCs w:val="22"/>
                <w:lang w:val="uk-UA" w:eastAsia="en-US"/>
              </w:rPr>
              <w:t>гідроочищення</w:t>
            </w:r>
          </w:p>
        </w:tc>
        <w:tc>
          <w:tcPr>
            <w:tcW w:w="1276" w:type="dxa"/>
          </w:tcPr>
          <w:p w14:paraId="1565D6F1" w14:textId="40269032" w:rsidR="00D96CD7" w:rsidRPr="009A5B6D" w:rsidRDefault="00D96CD7" w:rsidP="00D96CD7">
            <w:pPr>
              <w:widowControl w:val="0"/>
              <w:spacing w:line="312" w:lineRule="auto"/>
              <w:jc w:val="center"/>
              <w:rPr>
                <w:bCs/>
                <w:sz w:val="22"/>
                <w:szCs w:val="22"/>
                <w:lang w:val="uk-UA" w:eastAsia="en-US"/>
              </w:rPr>
            </w:pPr>
            <w:r w:rsidRPr="009A5B6D">
              <w:rPr>
                <w:bCs/>
                <w:sz w:val="22"/>
                <w:szCs w:val="22"/>
                <w:lang w:val="en-US" w:eastAsia="en-US"/>
              </w:rPr>
              <w:t>HVO</w:t>
            </w:r>
          </w:p>
        </w:tc>
        <w:tc>
          <w:tcPr>
            <w:tcW w:w="1985" w:type="dxa"/>
          </w:tcPr>
          <w:p w14:paraId="7EF3861B" w14:textId="0907D7A8" w:rsidR="00D96CD7" w:rsidRPr="009A5B6D" w:rsidRDefault="00D96CD7" w:rsidP="00D96CD7">
            <w:pPr>
              <w:widowControl w:val="0"/>
              <w:spacing w:line="312" w:lineRule="auto"/>
              <w:jc w:val="center"/>
              <w:rPr>
                <w:bCs/>
                <w:sz w:val="22"/>
                <w:szCs w:val="22"/>
                <w:lang w:val="uk-UA" w:eastAsia="en-US"/>
              </w:rPr>
            </w:pPr>
            <w:r w:rsidRPr="009A5B6D">
              <w:rPr>
                <w:bCs/>
                <w:sz w:val="22"/>
                <w:szCs w:val="22"/>
                <w:lang w:val="uk-UA" w:eastAsia="en-US"/>
              </w:rPr>
              <w:t>талова олія</w:t>
            </w:r>
          </w:p>
        </w:tc>
        <w:tc>
          <w:tcPr>
            <w:tcW w:w="1559" w:type="dxa"/>
          </w:tcPr>
          <w:p w14:paraId="5F6CC09A" w14:textId="32F7494D" w:rsidR="00D96CD7" w:rsidRPr="009A5B6D" w:rsidRDefault="0084586D" w:rsidP="00D96CD7">
            <w:pPr>
              <w:widowControl w:val="0"/>
              <w:spacing w:line="312" w:lineRule="auto"/>
              <w:jc w:val="center"/>
              <w:rPr>
                <w:bCs/>
                <w:sz w:val="22"/>
                <w:szCs w:val="22"/>
                <w:lang w:val="uk-UA" w:eastAsia="en-US"/>
              </w:rPr>
            </w:pPr>
            <w:r w:rsidRPr="009A5B6D">
              <w:rPr>
                <w:bCs/>
                <w:sz w:val="22"/>
                <w:szCs w:val="22"/>
                <w:lang w:val="uk-UA" w:eastAsia="en-US"/>
              </w:rPr>
              <w:t>220</w:t>
            </w:r>
          </w:p>
        </w:tc>
        <w:tc>
          <w:tcPr>
            <w:tcW w:w="1410" w:type="dxa"/>
          </w:tcPr>
          <w:p w14:paraId="6A25CB74" w14:textId="53C3E3B7" w:rsidR="00D96CD7" w:rsidRPr="009A5B6D" w:rsidRDefault="0084586D" w:rsidP="00D96CD7">
            <w:pPr>
              <w:widowControl w:val="0"/>
              <w:spacing w:line="312" w:lineRule="auto"/>
              <w:jc w:val="center"/>
              <w:rPr>
                <w:bCs/>
                <w:sz w:val="22"/>
                <w:szCs w:val="22"/>
                <w:lang w:val="uk-UA" w:eastAsia="en-US"/>
              </w:rPr>
            </w:pPr>
            <w:r w:rsidRPr="009A5B6D">
              <w:rPr>
                <w:bCs/>
                <w:sz w:val="22"/>
                <w:szCs w:val="22"/>
                <w:lang w:val="uk-UA" w:eastAsia="en-US"/>
              </w:rPr>
              <w:t>2015</w:t>
            </w:r>
          </w:p>
        </w:tc>
      </w:tr>
      <w:tr w:rsidR="00D96CD7" w:rsidRPr="009A5B6D" w14:paraId="6BF5FFA5" w14:textId="77777777" w:rsidTr="00D96CD7">
        <w:tc>
          <w:tcPr>
            <w:tcW w:w="1599" w:type="dxa"/>
          </w:tcPr>
          <w:p w14:paraId="299A3165" w14:textId="34AA1173" w:rsidR="00D96CD7" w:rsidRPr="009A5B6D" w:rsidRDefault="00D96CD7" w:rsidP="00D96CD7">
            <w:pPr>
              <w:widowControl w:val="0"/>
              <w:spacing w:line="312" w:lineRule="auto"/>
              <w:jc w:val="both"/>
              <w:rPr>
                <w:bCs/>
                <w:sz w:val="22"/>
                <w:szCs w:val="22"/>
                <w:lang w:val="uk-UA" w:eastAsia="en-US"/>
              </w:rPr>
            </w:pPr>
            <w:r w:rsidRPr="009A5B6D">
              <w:rPr>
                <w:bCs/>
                <w:sz w:val="22"/>
                <w:szCs w:val="22"/>
                <w:lang w:val="uk-UA" w:eastAsia="en-US"/>
              </w:rPr>
              <w:t>Португалія</w:t>
            </w:r>
          </w:p>
        </w:tc>
        <w:tc>
          <w:tcPr>
            <w:tcW w:w="1798" w:type="dxa"/>
          </w:tcPr>
          <w:p w14:paraId="1B65B8D3" w14:textId="64101EE1" w:rsidR="00D96CD7" w:rsidRPr="009A5B6D" w:rsidRDefault="00D96CD7" w:rsidP="00D96CD7">
            <w:pPr>
              <w:widowControl w:val="0"/>
              <w:spacing w:line="312" w:lineRule="auto"/>
              <w:jc w:val="both"/>
              <w:rPr>
                <w:bCs/>
                <w:sz w:val="22"/>
                <w:szCs w:val="22"/>
                <w:lang w:val="uk-UA" w:eastAsia="en-US"/>
              </w:rPr>
            </w:pPr>
            <w:r w:rsidRPr="009A5B6D">
              <w:rPr>
                <w:bCs/>
                <w:sz w:val="22"/>
                <w:szCs w:val="22"/>
                <w:lang w:val="uk-UA" w:eastAsia="en-US"/>
              </w:rPr>
              <w:t>гідроочищення</w:t>
            </w:r>
          </w:p>
        </w:tc>
        <w:tc>
          <w:tcPr>
            <w:tcW w:w="1276" w:type="dxa"/>
          </w:tcPr>
          <w:p w14:paraId="287034EB" w14:textId="3B4DB525" w:rsidR="00D96CD7" w:rsidRPr="009A5B6D" w:rsidRDefault="00D96CD7" w:rsidP="00D96CD7">
            <w:pPr>
              <w:widowControl w:val="0"/>
              <w:spacing w:line="312" w:lineRule="auto"/>
              <w:jc w:val="center"/>
              <w:rPr>
                <w:bCs/>
                <w:sz w:val="22"/>
                <w:szCs w:val="22"/>
                <w:lang w:val="uk-UA" w:eastAsia="en-US"/>
              </w:rPr>
            </w:pPr>
            <w:r w:rsidRPr="009A5B6D">
              <w:rPr>
                <w:bCs/>
                <w:sz w:val="22"/>
                <w:szCs w:val="22"/>
                <w:lang w:val="en-US" w:eastAsia="en-US"/>
              </w:rPr>
              <w:t>HVO</w:t>
            </w:r>
          </w:p>
        </w:tc>
        <w:tc>
          <w:tcPr>
            <w:tcW w:w="1985" w:type="dxa"/>
          </w:tcPr>
          <w:p w14:paraId="73AAF309" w14:textId="7AB5660C" w:rsidR="00D96CD7" w:rsidRPr="009A5B6D" w:rsidRDefault="00D96CD7" w:rsidP="00D96CD7">
            <w:pPr>
              <w:widowControl w:val="0"/>
              <w:spacing w:line="312" w:lineRule="auto"/>
              <w:jc w:val="center"/>
              <w:rPr>
                <w:bCs/>
                <w:sz w:val="22"/>
                <w:szCs w:val="22"/>
                <w:lang w:val="uk-UA" w:eastAsia="en-US"/>
              </w:rPr>
            </w:pPr>
            <w:r w:rsidRPr="009A5B6D">
              <w:rPr>
                <w:bCs/>
                <w:sz w:val="22"/>
                <w:szCs w:val="22"/>
                <w:lang w:val="uk-UA" w:eastAsia="en-US"/>
              </w:rPr>
              <w:t>пальмова олія</w:t>
            </w:r>
          </w:p>
        </w:tc>
        <w:tc>
          <w:tcPr>
            <w:tcW w:w="1559" w:type="dxa"/>
          </w:tcPr>
          <w:p w14:paraId="003A8E0B" w14:textId="1D03CE08" w:rsidR="00D96CD7" w:rsidRPr="009A5B6D" w:rsidRDefault="0084586D" w:rsidP="00D96CD7">
            <w:pPr>
              <w:widowControl w:val="0"/>
              <w:spacing w:line="312" w:lineRule="auto"/>
              <w:jc w:val="center"/>
              <w:rPr>
                <w:bCs/>
                <w:sz w:val="22"/>
                <w:szCs w:val="22"/>
                <w:lang w:val="uk-UA" w:eastAsia="en-US"/>
              </w:rPr>
            </w:pPr>
            <w:r w:rsidRPr="009A5B6D">
              <w:rPr>
                <w:bCs/>
                <w:sz w:val="22"/>
                <w:szCs w:val="22"/>
                <w:lang w:val="uk-UA" w:eastAsia="en-US"/>
              </w:rPr>
              <w:t>40</w:t>
            </w:r>
          </w:p>
        </w:tc>
        <w:tc>
          <w:tcPr>
            <w:tcW w:w="1410" w:type="dxa"/>
          </w:tcPr>
          <w:p w14:paraId="6167F384" w14:textId="3603C79F" w:rsidR="00D96CD7" w:rsidRPr="009A5B6D" w:rsidRDefault="0084586D" w:rsidP="00D96CD7">
            <w:pPr>
              <w:widowControl w:val="0"/>
              <w:spacing w:line="312" w:lineRule="auto"/>
              <w:jc w:val="center"/>
              <w:rPr>
                <w:bCs/>
                <w:sz w:val="22"/>
                <w:szCs w:val="22"/>
                <w:lang w:val="uk-UA" w:eastAsia="en-US"/>
              </w:rPr>
            </w:pPr>
            <w:r w:rsidRPr="009A5B6D">
              <w:rPr>
                <w:bCs/>
                <w:sz w:val="22"/>
                <w:szCs w:val="22"/>
                <w:lang w:val="uk-UA" w:eastAsia="en-US"/>
              </w:rPr>
              <w:t>2017</w:t>
            </w:r>
          </w:p>
        </w:tc>
      </w:tr>
      <w:tr w:rsidR="00D96CD7" w:rsidRPr="009A5B6D" w14:paraId="0616512C" w14:textId="77777777" w:rsidTr="00D96CD7">
        <w:tc>
          <w:tcPr>
            <w:tcW w:w="1599" w:type="dxa"/>
          </w:tcPr>
          <w:p w14:paraId="575D4C5C" w14:textId="7B6C2CA9" w:rsidR="00D96CD7" w:rsidRPr="009A5B6D" w:rsidRDefault="00D96CD7" w:rsidP="00410418">
            <w:pPr>
              <w:widowControl w:val="0"/>
              <w:spacing w:line="276" w:lineRule="auto"/>
              <w:jc w:val="both"/>
              <w:rPr>
                <w:bCs/>
                <w:sz w:val="22"/>
                <w:szCs w:val="22"/>
                <w:lang w:val="uk-UA" w:eastAsia="en-US"/>
              </w:rPr>
            </w:pPr>
            <w:r w:rsidRPr="009A5B6D">
              <w:rPr>
                <w:bCs/>
                <w:sz w:val="22"/>
                <w:szCs w:val="22"/>
                <w:lang w:val="uk-UA" w:eastAsia="en-US"/>
              </w:rPr>
              <w:t>Франція</w:t>
            </w:r>
          </w:p>
        </w:tc>
        <w:tc>
          <w:tcPr>
            <w:tcW w:w="1798" w:type="dxa"/>
          </w:tcPr>
          <w:p w14:paraId="31474329" w14:textId="5162B817" w:rsidR="00D96CD7" w:rsidRPr="009A5B6D" w:rsidRDefault="00D96CD7" w:rsidP="00410418">
            <w:pPr>
              <w:widowControl w:val="0"/>
              <w:spacing w:line="276" w:lineRule="auto"/>
              <w:jc w:val="both"/>
              <w:rPr>
                <w:bCs/>
                <w:sz w:val="22"/>
                <w:szCs w:val="22"/>
                <w:lang w:val="uk-UA" w:eastAsia="en-US"/>
              </w:rPr>
            </w:pPr>
            <w:r w:rsidRPr="009A5B6D">
              <w:rPr>
                <w:bCs/>
                <w:sz w:val="22"/>
                <w:szCs w:val="22"/>
                <w:lang w:val="uk-UA" w:eastAsia="en-US"/>
              </w:rPr>
              <w:t>гідроочищення</w:t>
            </w:r>
          </w:p>
        </w:tc>
        <w:tc>
          <w:tcPr>
            <w:tcW w:w="1276" w:type="dxa"/>
          </w:tcPr>
          <w:p w14:paraId="15E8384A" w14:textId="122FCBCA" w:rsidR="00D96CD7" w:rsidRPr="009A5B6D" w:rsidRDefault="00D96CD7" w:rsidP="00410418">
            <w:pPr>
              <w:widowControl w:val="0"/>
              <w:spacing w:line="276" w:lineRule="auto"/>
              <w:jc w:val="center"/>
              <w:rPr>
                <w:bCs/>
                <w:sz w:val="22"/>
                <w:szCs w:val="22"/>
                <w:lang w:val="uk-UA" w:eastAsia="en-US"/>
              </w:rPr>
            </w:pPr>
            <w:r w:rsidRPr="009A5B6D">
              <w:rPr>
                <w:bCs/>
                <w:sz w:val="22"/>
                <w:szCs w:val="22"/>
                <w:lang w:val="en-US" w:eastAsia="en-US"/>
              </w:rPr>
              <w:t>HVO</w:t>
            </w:r>
          </w:p>
        </w:tc>
        <w:tc>
          <w:tcPr>
            <w:tcW w:w="1985" w:type="dxa"/>
          </w:tcPr>
          <w:p w14:paraId="08C431CC" w14:textId="67C7F149" w:rsidR="00D96CD7" w:rsidRPr="009A5B6D" w:rsidRDefault="00D96CD7" w:rsidP="00410418">
            <w:pPr>
              <w:widowControl w:val="0"/>
              <w:spacing w:line="276" w:lineRule="auto"/>
              <w:jc w:val="center"/>
              <w:rPr>
                <w:bCs/>
                <w:sz w:val="22"/>
                <w:szCs w:val="22"/>
                <w:lang w:val="uk-UA" w:eastAsia="en-US"/>
              </w:rPr>
            </w:pPr>
            <w:r w:rsidRPr="009A5B6D">
              <w:rPr>
                <w:bCs/>
                <w:sz w:val="22"/>
                <w:szCs w:val="22"/>
                <w:lang w:val="uk-UA" w:eastAsia="en-US"/>
              </w:rPr>
              <w:t>олії та жири (50% пальмова олія)</w:t>
            </w:r>
          </w:p>
        </w:tc>
        <w:tc>
          <w:tcPr>
            <w:tcW w:w="1559" w:type="dxa"/>
          </w:tcPr>
          <w:p w14:paraId="69B71A73" w14:textId="4A0DF9E0" w:rsidR="00D96CD7" w:rsidRPr="009A5B6D" w:rsidRDefault="0084586D" w:rsidP="00410418">
            <w:pPr>
              <w:widowControl w:val="0"/>
              <w:spacing w:line="276" w:lineRule="auto"/>
              <w:jc w:val="center"/>
              <w:rPr>
                <w:bCs/>
                <w:sz w:val="22"/>
                <w:szCs w:val="22"/>
                <w:lang w:val="uk-UA" w:eastAsia="en-US"/>
              </w:rPr>
            </w:pPr>
            <w:r w:rsidRPr="009A5B6D">
              <w:rPr>
                <w:bCs/>
                <w:sz w:val="22"/>
                <w:szCs w:val="22"/>
                <w:lang w:val="uk-UA" w:eastAsia="en-US"/>
              </w:rPr>
              <w:t>640</w:t>
            </w:r>
          </w:p>
        </w:tc>
        <w:tc>
          <w:tcPr>
            <w:tcW w:w="1410" w:type="dxa"/>
          </w:tcPr>
          <w:p w14:paraId="307EA896" w14:textId="1537DB6C" w:rsidR="00D96CD7" w:rsidRPr="009A5B6D" w:rsidRDefault="0084586D" w:rsidP="00410418">
            <w:pPr>
              <w:widowControl w:val="0"/>
              <w:spacing w:line="276" w:lineRule="auto"/>
              <w:jc w:val="center"/>
              <w:rPr>
                <w:bCs/>
                <w:sz w:val="22"/>
                <w:szCs w:val="22"/>
                <w:lang w:val="uk-UA" w:eastAsia="en-US"/>
              </w:rPr>
            </w:pPr>
            <w:r w:rsidRPr="009A5B6D">
              <w:rPr>
                <w:bCs/>
                <w:sz w:val="22"/>
                <w:szCs w:val="22"/>
                <w:lang w:val="uk-UA" w:eastAsia="en-US"/>
              </w:rPr>
              <w:t>2019</w:t>
            </w:r>
          </w:p>
        </w:tc>
      </w:tr>
    </w:tbl>
    <w:p w14:paraId="64BC913F" w14:textId="7A6CF7D9" w:rsidR="008555CA" w:rsidRPr="009A5B6D" w:rsidRDefault="00C0468E" w:rsidP="00032B17">
      <w:pPr>
        <w:widowControl w:val="0"/>
        <w:spacing w:line="360" w:lineRule="auto"/>
        <w:jc w:val="both"/>
        <w:rPr>
          <w:bCs/>
          <w:sz w:val="22"/>
          <w:szCs w:val="22"/>
          <w:lang w:val="uk-UA" w:eastAsia="en-US"/>
        </w:rPr>
      </w:pPr>
      <w:r w:rsidRPr="009A5B6D">
        <w:rPr>
          <w:bCs/>
          <w:sz w:val="22"/>
          <w:szCs w:val="22"/>
          <w:lang w:val="uk-UA" w:eastAsia="en-US"/>
        </w:rPr>
        <w:t xml:space="preserve">* Біохімічний метод. Інші </w:t>
      </w:r>
      <w:r w:rsidR="00C00BFF" w:rsidRPr="009A5B6D">
        <w:rPr>
          <w:bCs/>
          <w:sz w:val="22"/>
          <w:szCs w:val="22"/>
          <w:lang w:val="uk-UA" w:eastAsia="en-US"/>
        </w:rPr>
        <w:t xml:space="preserve">методи </w:t>
      </w:r>
      <w:r w:rsidRPr="009A5B6D">
        <w:rPr>
          <w:bCs/>
          <w:sz w:val="22"/>
          <w:szCs w:val="22"/>
          <w:lang w:val="uk-UA" w:eastAsia="en-US"/>
        </w:rPr>
        <w:t>– термохімічні.</w:t>
      </w:r>
    </w:p>
    <w:p w14:paraId="515F6BC4" w14:textId="77777777" w:rsidR="0048226A" w:rsidRPr="009A5B6D" w:rsidRDefault="0048226A" w:rsidP="00FD1381">
      <w:pPr>
        <w:widowControl w:val="0"/>
        <w:spacing w:line="360" w:lineRule="auto"/>
        <w:ind w:firstLine="709"/>
        <w:jc w:val="both"/>
        <w:rPr>
          <w:bCs/>
          <w:sz w:val="22"/>
          <w:szCs w:val="22"/>
          <w:lang w:val="uk-UA" w:eastAsia="en-US"/>
        </w:rPr>
      </w:pPr>
    </w:p>
    <w:p w14:paraId="017CBD02" w14:textId="0591641C" w:rsidR="00C00BFF" w:rsidRPr="009A5B6D" w:rsidRDefault="00C00BFF" w:rsidP="00C00BFF">
      <w:pPr>
        <w:pStyle w:val="1"/>
        <w:keepNext w:val="0"/>
        <w:widowControl w:val="0"/>
        <w:spacing w:before="0" w:after="0" w:line="360" w:lineRule="auto"/>
        <w:jc w:val="center"/>
        <w:rPr>
          <w:rFonts w:ascii="Times New Roman" w:hAnsi="Times New Roman"/>
          <w:i/>
          <w:sz w:val="22"/>
          <w:szCs w:val="22"/>
          <w:lang w:val="uk-UA" w:eastAsia="en-US"/>
        </w:rPr>
      </w:pPr>
      <w:r w:rsidRPr="009A5B6D">
        <w:rPr>
          <w:rFonts w:ascii="Times New Roman" w:hAnsi="Times New Roman"/>
          <w:i/>
          <w:sz w:val="22"/>
          <w:szCs w:val="22"/>
          <w:lang w:val="uk-UA" w:eastAsia="en-US"/>
        </w:rPr>
        <w:t>Приклад Швеції</w:t>
      </w:r>
    </w:p>
    <w:p w14:paraId="498F06BA" w14:textId="65981B43" w:rsidR="00F4029D" w:rsidRPr="009A5B6D" w:rsidRDefault="00FD1381" w:rsidP="00882689">
      <w:pPr>
        <w:widowControl w:val="0"/>
        <w:spacing w:line="276" w:lineRule="auto"/>
        <w:ind w:firstLine="709"/>
        <w:jc w:val="both"/>
        <w:rPr>
          <w:bCs/>
          <w:sz w:val="22"/>
          <w:szCs w:val="22"/>
          <w:lang w:val="uk-UA" w:eastAsia="en-US"/>
        </w:rPr>
      </w:pPr>
      <w:r w:rsidRPr="009A5B6D">
        <w:rPr>
          <w:bCs/>
          <w:sz w:val="22"/>
          <w:szCs w:val="22"/>
          <w:lang w:val="uk-UA" w:eastAsia="en-US"/>
        </w:rPr>
        <w:t xml:space="preserve">Перехід на ВДЕ в секторі транспорту відбувається в різних країнах ЄС дуже нерівномірно. </w:t>
      </w:r>
      <w:r w:rsidR="000C088C" w:rsidRPr="009A5B6D">
        <w:rPr>
          <w:bCs/>
          <w:sz w:val="22"/>
          <w:szCs w:val="22"/>
          <w:lang w:val="uk-UA" w:eastAsia="en-US"/>
        </w:rPr>
        <w:t xml:space="preserve">Безперечним лідером є Швеція, де вже досягнуто близько 30% ВДЕ у споживанні енергії на транспорті. </w:t>
      </w:r>
      <w:r w:rsidR="00B92B03" w:rsidRPr="009A5B6D">
        <w:rPr>
          <w:bCs/>
          <w:sz w:val="22"/>
          <w:szCs w:val="22"/>
          <w:lang w:val="uk-UA" w:eastAsia="en-US"/>
        </w:rPr>
        <w:t>Основними</w:t>
      </w:r>
      <w:r w:rsidR="009A65C7" w:rsidRPr="009A5B6D">
        <w:rPr>
          <w:bCs/>
          <w:sz w:val="22"/>
          <w:szCs w:val="22"/>
          <w:lang w:val="uk-UA" w:eastAsia="en-US"/>
        </w:rPr>
        <w:t xml:space="preserve"> механізм</w:t>
      </w:r>
      <w:r w:rsidR="00B92B03" w:rsidRPr="009A5B6D">
        <w:rPr>
          <w:bCs/>
          <w:sz w:val="22"/>
          <w:szCs w:val="22"/>
          <w:lang w:val="uk-UA" w:eastAsia="en-US"/>
        </w:rPr>
        <w:t>ами</w:t>
      </w:r>
      <w:r w:rsidR="009A65C7" w:rsidRPr="009A5B6D">
        <w:rPr>
          <w:bCs/>
          <w:sz w:val="22"/>
          <w:szCs w:val="22"/>
          <w:lang w:val="uk-UA" w:eastAsia="en-US"/>
        </w:rPr>
        <w:t xml:space="preserve">, які сприяли цьому, є </w:t>
      </w:r>
      <w:r w:rsidR="00B92B03" w:rsidRPr="009A5B6D">
        <w:rPr>
          <w:bCs/>
          <w:sz w:val="22"/>
          <w:szCs w:val="22"/>
          <w:lang w:val="uk-UA" w:eastAsia="en-US"/>
        </w:rPr>
        <w:t xml:space="preserve">енергетичний та </w:t>
      </w:r>
      <w:r w:rsidR="009A65C7" w:rsidRPr="009A5B6D">
        <w:rPr>
          <w:bCs/>
          <w:sz w:val="22"/>
          <w:szCs w:val="22"/>
          <w:lang w:val="uk-UA" w:eastAsia="en-US"/>
        </w:rPr>
        <w:t xml:space="preserve">вуглецевий </w:t>
      </w:r>
      <w:r w:rsidR="00B92B03" w:rsidRPr="009A5B6D">
        <w:rPr>
          <w:bCs/>
          <w:sz w:val="22"/>
          <w:szCs w:val="22"/>
          <w:lang w:val="uk-UA" w:eastAsia="en-US"/>
        </w:rPr>
        <w:t>податки</w:t>
      </w:r>
      <w:r w:rsidR="009A65C7" w:rsidRPr="009A5B6D">
        <w:rPr>
          <w:bCs/>
          <w:sz w:val="22"/>
          <w:szCs w:val="22"/>
          <w:lang w:val="uk-UA" w:eastAsia="en-US"/>
        </w:rPr>
        <w:t xml:space="preserve"> на викопні палива</w:t>
      </w:r>
      <w:r w:rsidR="00B92B03" w:rsidRPr="009A5B6D">
        <w:rPr>
          <w:bCs/>
          <w:sz w:val="22"/>
          <w:szCs w:val="22"/>
          <w:lang w:val="uk-UA" w:eastAsia="en-US"/>
        </w:rPr>
        <w:t>. Вуглецевий податок</w:t>
      </w:r>
      <w:r w:rsidR="009A65C7" w:rsidRPr="009A5B6D">
        <w:rPr>
          <w:bCs/>
          <w:sz w:val="22"/>
          <w:szCs w:val="22"/>
          <w:lang w:val="uk-UA" w:eastAsia="en-US"/>
        </w:rPr>
        <w:t xml:space="preserve"> </w:t>
      </w:r>
      <w:r w:rsidR="00B92B03" w:rsidRPr="009A5B6D">
        <w:rPr>
          <w:bCs/>
          <w:sz w:val="22"/>
          <w:szCs w:val="22"/>
          <w:lang w:val="uk-UA" w:eastAsia="en-US"/>
        </w:rPr>
        <w:t xml:space="preserve">був </w:t>
      </w:r>
      <w:r w:rsidR="009A65C7" w:rsidRPr="009A5B6D">
        <w:rPr>
          <w:bCs/>
          <w:sz w:val="22"/>
          <w:szCs w:val="22"/>
          <w:lang w:val="uk-UA" w:eastAsia="en-US"/>
        </w:rPr>
        <w:t>уведений у 1991 р.</w:t>
      </w:r>
      <w:r w:rsidR="00B92B03" w:rsidRPr="009A5B6D">
        <w:rPr>
          <w:bCs/>
          <w:sz w:val="22"/>
          <w:szCs w:val="22"/>
          <w:lang w:val="uk-UA" w:eastAsia="en-US"/>
        </w:rPr>
        <w:t>, і його ве</w:t>
      </w:r>
      <w:r w:rsidR="00DE28F4" w:rsidRPr="009A5B6D">
        <w:rPr>
          <w:bCs/>
          <w:sz w:val="22"/>
          <w:szCs w:val="22"/>
          <w:lang w:val="uk-UA" w:eastAsia="en-US"/>
        </w:rPr>
        <w:t>личина збільшилася з 0,25 SEK/кг СО</w:t>
      </w:r>
      <w:r w:rsidR="00DE28F4" w:rsidRPr="009A5B6D">
        <w:rPr>
          <w:bCs/>
          <w:sz w:val="22"/>
          <w:szCs w:val="22"/>
          <w:vertAlign w:val="subscript"/>
          <w:lang w:val="uk-UA" w:eastAsia="en-US"/>
        </w:rPr>
        <w:t>2</w:t>
      </w:r>
      <w:r w:rsidR="00DE28F4" w:rsidRPr="009A5B6D">
        <w:rPr>
          <w:bCs/>
          <w:sz w:val="22"/>
          <w:szCs w:val="22"/>
          <w:lang w:val="uk-UA" w:eastAsia="en-US"/>
        </w:rPr>
        <w:t xml:space="preserve"> у 1991 р. до 1,18 SEK/кг СО</w:t>
      </w:r>
      <w:r w:rsidR="00DE28F4" w:rsidRPr="009A5B6D">
        <w:rPr>
          <w:bCs/>
          <w:sz w:val="22"/>
          <w:szCs w:val="22"/>
          <w:vertAlign w:val="subscript"/>
          <w:lang w:val="uk-UA" w:eastAsia="en-US"/>
        </w:rPr>
        <w:t>2</w:t>
      </w:r>
      <w:r w:rsidR="00DE28F4" w:rsidRPr="009A5B6D">
        <w:rPr>
          <w:bCs/>
          <w:sz w:val="22"/>
          <w:szCs w:val="22"/>
          <w:lang w:val="uk-UA" w:eastAsia="en-US"/>
        </w:rPr>
        <w:t xml:space="preserve"> у 2019 р</w:t>
      </w:r>
      <w:r w:rsidR="00453B09" w:rsidRPr="009A5B6D">
        <w:rPr>
          <w:bCs/>
          <w:sz w:val="22"/>
          <w:szCs w:val="22"/>
          <w:lang w:val="uk-UA" w:eastAsia="en-US"/>
        </w:rPr>
        <w:t>. (близько 0,12 євро/кг СО</w:t>
      </w:r>
      <w:r w:rsidR="00453B09" w:rsidRPr="009A5B6D">
        <w:rPr>
          <w:bCs/>
          <w:sz w:val="22"/>
          <w:szCs w:val="22"/>
          <w:vertAlign w:val="subscript"/>
          <w:lang w:val="uk-UA" w:eastAsia="en-US"/>
        </w:rPr>
        <w:t>2</w:t>
      </w:r>
      <w:r w:rsidR="00453B09" w:rsidRPr="009A5B6D">
        <w:rPr>
          <w:bCs/>
          <w:sz w:val="22"/>
          <w:szCs w:val="22"/>
          <w:lang w:val="uk-UA" w:eastAsia="en-US"/>
        </w:rPr>
        <w:t xml:space="preserve">). </w:t>
      </w:r>
      <w:r w:rsidR="009A36A2" w:rsidRPr="009A5B6D">
        <w:rPr>
          <w:bCs/>
          <w:sz w:val="22"/>
          <w:szCs w:val="22"/>
          <w:lang w:val="uk-UA" w:eastAsia="en-US"/>
        </w:rPr>
        <w:t xml:space="preserve">Енергетичний податок уведено ще раніше – у 1924 р. на бензин, у 1937 р. – на дизель. </w:t>
      </w:r>
      <w:r w:rsidR="002773C2" w:rsidRPr="009A5B6D">
        <w:rPr>
          <w:bCs/>
          <w:sz w:val="22"/>
          <w:szCs w:val="22"/>
          <w:lang w:val="uk-UA" w:eastAsia="en-US"/>
        </w:rPr>
        <w:t xml:space="preserve">Спочатку цей податок діяв лише як фіскальний інструмент, а згодом став сприяти розвитку ВДЕ на транспорті. </w:t>
      </w:r>
      <w:r w:rsidR="000070F6" w:rsidRPr="009A5B6D">
        <w:rPr>
          <w:bCs/>
          <w:sz w:val="22"/>
          <w:szCs w:val="22"/>
          <w:lang w:val="uk-UA" w:eastAsia="en-US"/>
        </w:rPr>
        <w:t xml:space="preserve">Величина енергетичного податку складає 0,30 євро/л бензину та 0,28 євро/л дизелю (2018 р.). </w:t>
      </w:r>
    </w:p>
    <w:p w14:paraId="117DA2D1" w14:textId="46756FE3" w:rsidR="009A36A2" w:rsidRPr="009A5B6D" w:rsidRDefault="00120294" w:rsidP="00882689">
      <w:pPr>
        <w:widowControl w:val="0"/>
        <w:spacing w:line="276" w:lineRule="auto"/>
        <w:ind w:firstLine="709"/>
        <w:jc w:val="both"/>
        <w:rPr>
          <w:bCs/>
          <w:sz w:val="22"/>
          <w:szCs w:val="22"/>
          <w:lang w:val="uk-UA" w:eastAsia="en-US"/>
        </w:rPr>
      </w:pPr>
      <w:r w:rsidRPr="009A5B6D">
        <w:rPr>
          <w:bCs/>
          <w:sz w:val="22"/>
          <w:szCs w:val="22"/>
          <w:lang w:val="uk-UA" w:eastAsia="en-US"/>
        </w:rPr>
        <w:t xml:space="preserve">В </w:t>
      </w:r>
      <w:r w:rsidR="00F4029D" w:rsidRPr="009A5B6D">
        <w:rPr>
          <w:bCs/>
          <w:sz w:val="22"/>
          <w:szCs w:val="22"/>
          <w:lang w:val="uk-UA" w:eastAsia="en-US"/>
        </w:rPr>
        <w:t>Швеції</w:t>
      </w:r>
      <w:r w:rsidRPr="009A5B6D">
        <w:rPr>
          <w:bCs/>
          <w:sz w:val="22"/>
          <w:szCs w:val="22"/>
          <w:lang w:val="uk-UA" w:eastAsia="en-US"/>
        </w:rPr>
        <w:t xml:space="preserve"> також д</w:t>
      </w:r>
      <w:r w:rsidR="00A46375" w:rsidRPr="009A5B6D">
        <w:rPr>
          <w:bCs/>
          <w:sz w:val="22"/>
          <w:szCs w:val="22"/>
          <w:lang w:val="uk-UA" w:eastAsia="en-US"/>
        </w:rPr>
        <w:t>іє програма підтримки електрифікації громадського транспорту, на яку щорічно виділяється близько 10 млн євро.</w:t>
      </w:r>
      <w:r w:rsidR="003B74C3" w:rsidRPr="009A5B6D">
        <w:rPr>
          <w:bCs/>
          <w:sz w:val="22"/>
          <w:szCs w:val="22"/>
          <w:lang w:val="uk-UA" w:eastAsia="en-US"/>
        </w:rPr>
        <w:t xml:space="preserve"> Підтримується виробництво біогазу з гною, у тому числі з метою покращення його якості для використання на транспорті. У 2019 р. на таку підтримку було виділено 10 млн євро.</w:t>
      </w:r>
      <w:r w:rsidR="005F5C26" w:rsidRPr="009A5B6D">
        <w:rPr>
          <w:bCs/>
          <w:sz w:val="22"/>
          <w:szCs w:val="22"/>
          <w:lang w:val="uk-UA" w:eastAsia="en-US"/>
        </w:rPr>
        <w:t xml:space="preserve"> В Європі Швеція є найбільшим споживачем біометану на транспорті, використовуючи майже третин</w:t>
      </w:r>
      <w:r w:rsidR="00F4029D" w:rsidRPr="009A5B6D">
        <w:rPr>
          <w:bCs/>
          <w:sz w:val="22"/>
          <w:szCs w:val="22"/>
          <w:lang w:val="uk-UA" w:eastAsia="en-US"/>
        </w:rPr>
        <w:t>у</w:t>
      </w:r>
      <w:r w:rsidR="005F5C26" w:rsidRPr="009A5B6D">
        <w:rPr>
          <w:bCs/>
          <w:sz w:val="22"/>
          <w:szCs w:val="22"/>
          <w:lang w:val="uk-UA" w:eastAsia="en-US"/>
        </w:rPr>
        <w:t xml:space="preserve"> загального обсягу, який у 2019 році склав 14 ПДж</w:t>
      </w:r>
      <w:r w:rsidR="00D20100" w:rsidRPr="009A5B6D">
        <w:rPr>
          <w:bCs/>
          <w:sz w:val="22"/>
          <w:szCs w:val="22"/>
          <w:lang w:eastAsia="en-US"/>
        </w:rPr>
        <w:t xml:space="preserve"> </w:t>
      </w:r>
      <w:r w:rsidR="00D20100" w:rsidRPr="009A5B6D">
        <w:rPr>
          <w:sz w:val="22"/>
          <w:szCs w:val="22"/>
          <w:lang w:val="uk-UA"/>
        </w:rPr>
        <w:t>[</w:t>
      </w:r>
      <w:r w:rsidR="00D20100" w:rsidRPr="009A5B6D">
        <w:rPr>
          <w:sz w:val="22"/>
          <w:szCs w:val="22"/>
        </w:rPr>
        <w:t>7, 8</w:t>
      </w:r>
      <w:r w:rsidR="00D20100" w:rsidRPr="009A5B6D">
        <w:rPr>
          <w:sz w:val="22"/>
          <w:szCs w:val="22"/>
          <w:lang w:val="uk-UA"/>
        </w:rPr>
        <w:t>]</w:t>
      </w:r>
      <w:r w:rsidR="005F5C26" w:rsidRPr="009A5B6D">
        <w:rPr>
          <w:bCs/>
          <w:sz w:val="22"/>
          <w:szCs w:val="22"/>
          <w:lang w:val="uk-UA" w:eastAsia="en-US"/>
        </w:rPr>
        <w:t>.</w:t>
      </w:r>
    </w:p>
    <w:p w14:paraId="225243BD" w14:textId="77777777" w:rsidR="00F4029D" w:rsidRDefault="00DA2BFA" w:rsidP="00882689">
      <w:pPr>
        <w:widowControl w:val="0"/>
        <w:spacing w:line="276" w:lineRule="auto"/>
        <w:ind w:firstLine="709"/>
        <w:jc w:val="both"/>
        <w:rPr>
          <w:bCs/>
          <w:sz w:val="22"/>
          <w:szCs w:val="22"/>
          <w:lang w:val="uk-UA" w:eastAsia="en-US"/>
        </w:rPr>
      </w:pPr>
      <w:r w:rsidRPr="009A5B6D">
        <w:rPr>
          <w:bCs/>
          <w:sz w:val="22"/>
          <w:szCs w:val="22"/>
          <w:lang w:val="uk-UA" w:eastAsia="en-US"/>
        </w:rPr>
        <w:t xml:space="preserve">Національним енергетичним та кліматичним планом </w:t>
      </w:r>
      <w:r w:rsidR="00EB4704" w:rsidRPr="009A5B6D">
        <w:rPr>
          <w:bCs/>
          <w:sz w:val="22"/>
          <w:szCs w:val="22"/>
          <w:lang w:val="uk-UA" w:eastAsia="en-US"/>
        </w:rPr>
        <w:t>Швеції</w:t>
      </w:r>
      <w:r w:rsidRPr="009A5B6D">
        <w:rPr>
          <w:bCs/>
          <w:sz w:val="22"/>
          <w:szCs w:val="22"/>
          <w:lang w:val="uk-UA" w:eastAsia="en-US"/>
        </w:rPr>
        <w:t xml:space="preserve"> 2020 року </w:t>
      </w:r>
      <w:r w:rsidR="00294C91" w:rsidRPr="009A5B6D">
        <w:rPr>
          <w:sz w:val="22"/>
          <w:szCs w:val="22"/>
          <w:lang w:val="uk-UA"/>
        </w:rPr>
        <w:t>[</w:t>
      </w:r>
      <w:r w:rsidR="00D20100" w:rsidRPr="009A5B6D">
        <w:rPr>
          <w:sz w:val="22"/>
          <w:szCs w:val="22"/>
        </w:rPr>
        <w:t>8</w:t>
      </w:r>
      <w:r w:rsidR="00294C91" w:rsidRPr="009A5B6D">
        <w:rPr>
          <w:sz w:val="22"/>
          <w:szCs w:val="22"/>
          <w:lang w:val="uk-UA"/>
        </w:rPr>
        <w:t xml:space="preserve">] </w:t>
      </w:r>
      <w:r w:rsidRPr="009A5B6D">
        <w:rPr>
          <w:bCs/>
          <w:sz w:val="22"/>
          <w:szCs w:val="22"/>
          <w:lang w:val="uk-UA" w:eastAsia="en-US"/>
        </w:rPr>
        <w:t>поставлено амбітну ціль досягти 70% скорочення викидів парникових газів на транспорті до 2030 р. порівняно з 2010 р.</w:t>
      </w:r>
      <w:r w:rsidR="00583666" w:rsidRPr="009A5B6D">
        <w:rPr>
          <w:bCs/>
          <w:sz w:val="22"/>
          <w:szCs w:val="22"/>
          <w:lang w:val="uk-UA" w:eastAsia="en-US"/>
        </w:rPr>
        <w:t>, а також довести частку ВДЕ на транспорті до 48% у 2030 р. і до 52% у 2040 р.</w:t>
      </w:r>
      <w:r w:rsidR="00456D5C" w:rsidRPr="009A5B6D">
        <w:rPr>
          <w:bCs/>
          <w:sz w:val="22"/>
          <w:szCs w:val="22"/>
          <w:lang w:val="uk-UA" w:eastAsia="en-US"/>
        </w:rPr>
        <w:t xml:space="preserve"> (з подвійним зарахуванням для біопалив другого покоління згідно Директиви </w:t>
      </w:r>
      <w:r w:rsidR="00456D5C" w:rsidRPr="009A5B6D">
        <w:rPr>
          <w:bCs/>
          <w:sz w:val="22"/>
          <w:szCs w:val="22"/>
          <w:lang w:val="en-US" w:eastAsia="en-US"/>
        </w:rPr>
        <w:t>RED</w:t>
      </w:r>
      <w:r w:rsidR="00456D5C" w:rsidRPr="009A5B6D">
        <w:rPr>
          <w:bCs/>
          <w:sz w:val="22"/>
          <w:szCs w:val="22"/>
          <w:lang w:eastAsia="en-US"/>
        </w:rPr>
        <w:t xml:space="preserve"> </w:t>
      </w:r>
      <w:r w:rsidR="00456D5C" w:rsidRPr="009A5B6D">
        <w:rPr>
          <w:bCs/>
          <w:sz w:val="22"/>
          <w:szCs w:val="22"/>
          <w:lang w:val="en-US" w:eastAsia="en-US"/>
        </w:rPr>
        <w:t>II</w:t>
      </w:r>
      <w:r w:rsidR="00456D5C" w:rsidRPr="009A5B6D">
        <w:rPr>
          <w:bCs/>
          <w:sz w:val="22"/>
          <w:szCs w:val="22"/>
          <w:lang w:eastAsia="en-US"/>
        </w:rPr>
        <w:t>) (</w:t>
      </w:r>
      <w:r w:rsidR="00456D5C" w:rsidRPr="009A5B6D">
        <w:rPr>
          <w:bCs/>
          <w:sz w:val="22"/>
          <w:szCs w:val="22"/>
          <w:lang w:val="uk-UA" w:eastAsia="en-US"/>
        </w:rPr>
        <w:t>рис. 3)</w:t>
      </w:r>
      <w:r w:rsidR="00D20100" w:rsidRPr="009A5B6D">
        <w:rPr>
          <w:bCs/>
          <w:sz w:val="22"/>
          <w:szCs w:val="22"/>
          <w:lang w:eastAsia="en-US"/>
        </w:rPr>
        <w:t xml:space="preserve"> </w:t>
      </w:r>
      <w:r w:rsidR="00D20100" w:rsidRPr="009A5B6D">
        <w:rPr>
          <w:sz w:val="22"/>
          <w:szCs w:val="22"/>
          <w:lang w:val="uk-UA"/>
        </w:rPr>
        <w:t>[</w:t>
      </w:r>
      <w:r w:rsidR="00D20100" w:rsidRPr="009A5B6D">
        <w:rPr>
          <w:sz w:val="22"/>
          <w:szCs w:val="22"/>
        </w:rPr>
        <w:t>8</w:t>
      </w:r>
      <w:r w:rsidR="00D20100" w:rsidRPr="009A5B6D">
        <w:rPr>
          <w:sz w:val="22"/>
          <w:szCs w:val="22"/>
          <w:lang w:val="uk-UA"/>
        </w:rPr>
        <w:t>]</w:t>
      </w:r>
      <w:r w:rsidR="00456D5C" w:rsidRPr="009A5B6D">
        <w:rPr>
          <w:bCs/>
          <w:sz w:val="22"/>
          <w:szCs w:val="22"/>
          <w:lang w:eastAsia="en-US"/>
        </w:rPr>
        <w:t>.</w:t>
      </w:r>
      <w:r w:rsidR="009A65C7">
        <w:rPr>
          <w:bCs/>
          <w:sz w:val="22"/>
          <w:szCs w:val="22"/>
          <w:lang w:val="uk-UA" w:eastAsia="en-US"/>
        </w:rPr>
        <w:t xml:space="preserve"> </w:t>
      </w:r>
    </w:p>
    <w:p w14:paraId="5C0F32AE" w14:textId="0F558716" w:rsidR="00BA6DC7" w:rsidRDefault="00BA6DC7" w:rsidP="00456D5C">
      <w:pPr>
        <w:widowControl w:val="0"/>
        <w:spacing w:line="360" w:lineRule="auto"/>
        <w:jc w:val="center"/>
        <w:rPr>
          <w:bCs/>
          <w:sz w:val="22"/>
          <w:szCs w:val="22"/>
          <w:lang w:val="uk-UA" w:eastAsia="en-US"/>
        </w:rPr>
      </w:pPr>
      <w:r>
        <w:rPr>
          <w:bCs/>
          <w:noProof/>
          <w:sz w:val="22"/>
          <w:szCs w:val="22"/>
          <w:lang w:val="uk-UA" w:eastAsia="uk-UA"/>
        </w:rPr>
        <w:drawing>
          <wp:inline distT="0" distB="0" distL="0" distR="0" wp14:anchorId="5F2C0286" wp14:editId="33485D19">
            <wp:extent cx="4273473" cy="22402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3915" cy="2261481"/>
                    </a:xfrm>
                    <a:prstGeom prst="rect">
                      <a:avLst/>
                    </a:prstGeom>
                  </pic:spPr>
                </pic:pic>
              </a:graphicData>
            </a:graphic>
          </wp:inline>
        </w:drawing>
      </w:r>
    </w:p>
    <w:p w14:paraId="0EDD4622" w14:textId="1D92527D" w:rsidR="00456D5C" w:rsidRPr="00E30C50" w:rsidRDefault="00456D5C" w:rsidP="0074487A">
      <w:pPr>
        <w:widowControl w:val="0"/>
        <w:jc w:val="center"/>
        <w:rPr>
          <w:rFonts w:eastAsia="Calibri"/>
          <w:b/>
          <w:i/>
          <w:sz w:val="22"/>
          <w:szCs w:val="22"/>
          <w:lang w:val="uk-UA" w:eastAsia="en-US"/>
        </w:rPr>
      </w:pPr>
      <w:r w:rsidRPr="00E30C50">
        <w:rPr>
          <w:rFonts w:eastAsia="Calibri"/>
          <w:b/>
          <w:i/>
          <w:sz w:val="22"/>
          <w:szCs w:val="22"/>
          <w:lang w:val="uk-UA" w:eastAsia="en-US"/>
        </w:rPr>
        <w:t xml:space="preserve">Рис. 3. Структура споживання ВДЕ у секторі транспорту Швеції </w:t>
      </w:r>
      <w:r w:rsidRPr="00E30C50">
        <w:rPr>
          <w:b/>
          <w:i/>
          <w:sz w:val="22"/>
          <w:szCs w:val="22"/>
          <w:lang w:val="uk-UA"/>
        </w:rPr>
        <w:t>[</w:t>
      </w:r>
      <w:r w:rsidR="00D20100" w:rsidRPr="00E30C50">
        <w:rPr>
          <w:b/>
          <w:i/>
          <w:sz w:val="22"/>
          <w:szCs w:val="22"/>
        </w:rPr>
        <w:t>8</w:t>
      </w:r>
      <w:r w:rsidRPr="00E30C50">
        <w:rPr>
          <w:b/>
          <w:i/>
          <w:sz w:val="22"/>
          <w:szCs w:val="22"/>
          <w:lang w:val="uk-UA"/>
        </w:rPr>
        <w:t>]</w:t>
      </w:r>
      <w:r w:rsidR="00BA6DC7" w:rsidRPr="00E30C50">
        <w:rPr>
          <w:rFonts w:eastAsia="Calibri"/>
          <w:b/>
          <w:i/>
          <w:sz w:val="22"/>
          <w:szCs w:val="22"/>
          <w:lang w:val="uk-UA" w:eastAsia="en-US"/>
        </w:rPr>
        <w:t>:</w:t>
      </w:r>
    </w:p>
    <w:p w14:paraId="11734208" w14:textId="58F7A288" w:rsidR="00BA6DC7" w:rsidRPr="00E30C50" w:rsidRDefault="00BA6DC7" w:rsidP="0074487A">
      <w:pPr>
        <w:widowControl w:val="0"/>
        <w:jc w:val="center"/>
        <w:rPr>
          <w:b/>
          <w:bCs/>
          <w:i/>
          <w:sz w:val="22"/>
          <w:szCs w:val="22"/>
          <w:lang w:val="uk-UA" w:eastAsia="en-US"/>
        </w:rPr>
      </w:pPr>
      <w:r w:rsidRPr="00E30C50">
        <w:rPr>
          <w:b/>
          <w:bCs/>
          <w:i/>
          <w:sz w:val="22"/>
          <w:szCs w:val="22"/>
          <w:lang w:val="uk-UA" w:eastAsia="en-US"/>
        </w:rPr>
        <w:t xml:space="preserve">1 – </w:t>
      </w:r>
      <w:r w:rsidR="00C638C1" w:rsidRPr="00E30C50">
        <w:rPr>
          <w:b/>
          <w:bCs/>
          <w:i/>
          <w:sz w:val="22"/>
          <w:szCs w:val="22"/>
          <w:lang w:val="uk-UA" w:eastAsia="en-US"/>
        </w:rPr>
        <w:t>електроенергія</w:t>
      </w:r>
      <w:r w:rsidRPr="00E30C50">
        <w:rPr>
          <w:b/>
          <w:bCs/>
          <w:i/>
          <w:sz w:val="22"/>
          <w:szCs w:val="22"/>
          <w:lang w:val="uk-UA" w:eastAsia="en-US"/>
        </w:rPr>
        <w:t>; 2 – етанол; 3 – біодизель (</w:t>
      </w:r>
      <w:r w:rsidRPr="00E30C50">
        <w:rPr>
          <w:b/>
          <w:bCs/>
          <w:i/>
          <w:sz w:val="22"/>
          <w:szCs w:val="22"/>
          <w:lang w:val="en-US" w:eastAsia="en-US"/>
        </w:rPr>
        <w:t>FAME</w:t>
      </w:r>
      <w:r w:rsidRPr="00E30C50">
        <w:rPr>
          <w:b/>
          <w:bCs/>
          <w:i/>
          <w:sz w:val="22"/>
          <w:szCs w:val="22"/>
          <w:lang w:val="uk-UA" w:eastAsia="en-US"/>
        </w:rPr>
        <w:t>); 4 – біодизель (</w:t>
      </w:r>
      <w:r w:rsidRPr="00E30C50">
        <w:rPr>
          <w:b/>
          <w:bCs/>
          <w:i/>
          <w:sz w:val="22"/>
          <w:szCs w:val="22"/>
          <w:lang w:val="en-US" w:eastAsia="en-US"/>
        </w:rPr>
        <w:t>HVO</w:t>
      </w:r>
      <w:r w:rsidRPr="00E30C50">
        <w:rPr>
          <w:b/>
          <w:bCs/>
          <w:i/>
          <w:sz w:val="22"/>
          <w:szCs w:val="22"/>
          <w:lang w:val="uk-UA" w:eastAsia="en-US"/>
        </w:rPr>
        <w:t>); 5 – біогаз; 6 – біобензин; 7 – частка ВДЕ з подвійним зарахуванням для біопалив ІІ покоління; 8 – частка ВДЕ без подвійного зарахування для біопалив ІІ покоління</w:t>
      </w:r>
    </w:p>
    <w:p w14:paraId="5DFAB3BD" w14:textId="77777777" w:rsidR="00A9037C" w:rsidRDefault="00A9037C" w:rsidP="00FD1381">
      <w:pPr>
        <w:widowControl w:val="0"/>
        <w:spacing w:line="360" w:lineRule="auto"/>
        <w:ind w:firstLine="709"/>
        <w:jc w:val="both"/>
        <w:rPr>
          <w:bCs/>
          <w:sz w:val="22"/>
          <w:szCs w:val="22"/>
          <w:lang w:val="uk-UA" w:eastAsia="en-US"/>
        </w:rPr>
      </w:pPr>
    </w:p>
    <w:p w14:paraId="3693E627" w14:textId="77777777" w:rsidR="00F4029D" w:rsidRPr="009A5B6D" w:rsidRDefault="00F4029D" w:rsidP="00882689">
      <w:pPr>
        <w:widowControl w:val="0"/>
        <w:spacing w:line="276" w:lineRule="auto"/>
        <w:ind w:firstLine="709"/>
        <w:jc w:val="both"/>
        <w:rPr>
          <w:bCs/>
          <w:sz w:val="22"/>
          <w:szCs w:val="22"/>
          <w:lang w:val="uk-UA" w:eastAsia="en-US"/>
        </w:rPr>
      </w:pPr>
      <w:r w:rsidRPr="009A5B6D">
        <w:rPr>
          <w:bCs/>
          <w:sz w:val="22"/>
          <w:szCs w:val="22"/>
          <w:lang w:val="uk-UA" w:eastAsia="en-US"/>
        </w:rPr>
        <w:t xml:space="preserve">У 2017 р. уряд доручив Шведському енергетичному агентству розробити галузеві стратегії підвищення енергоефективності для забезпечення загального росту енергоефективності на 50% до 2030 року. Одним з п’яти пріоритетів визначено поступове скорочення до нуля споживання викопних палив на транспорті. Крім того, Швеція має за мету стати світовим лідером і прикладом впровадження новітніх технологій у секторі транспорту. </w:t>
      </w:r>
    </w:p>
    <w:p w14:paraId="786BF675" w14:textId="28CE1557" w:rsidR="004F6D32" w:rsidRPr="009A5B6D" w:rsidRDefault="006002C9" w:rsidP="00882689">
      <w:pPr>
        <w:pStyle w:val="1"/>
        <w:keepNext w:val="0"/>
        <w:widowControl w:val="0"/>
        <w:spacing w:before="0" w:after="0" w:line="276" w:lineRule="auto"/>
        <w:jc w:val="center"/>
        <w:rPr>
          <w:rFonts w:ascii="Times New Roman" w:hAnsi="Times New Roman"/>
          <w:i/>
          <w:sz w:val="22"/>
          <w:szCs w:val="22"/>
          <w:lang w:val="uk-UA" w:eastAsia="en-US"/>
        </w:rPr>
      </w:pPr>
      <w:r w:rsidRPr="009A5B6D">
        <w:rPr>
          <w:rFonts w:ascii="Times New Roman" w:hAnsi="Times New Roman"/>
          <w:i/>
          <w:sz w:val="22"/>
          <w:szCs w:val="22"/>
          <w:lang w:val="uk-UA" w:eastAsia="en-US"/>
        </w:rPr>
        <w:t xml:space="preserve">Ситуація в </w:t>
      </w:r>
      <w:r w:rsidR="00F4029D" w:rsidRPr="009A5B6D">
        <w:rPr>
          <w:rFonts w:ascii="Times New Roman" w:hAnsi="Times New Roman"/>
          <w:i/>
          <w:sz w:val="22"/>
          <w:szCs w:val="22"/>
          <w:lang w:val="uk-UA" w:eastAsia="en-US"/>
        </w:rPr>
        <w:t xml:space="preserve">транспортному секторі </w:t>
      </w:r>
      <w:r w:rsidRPr="009A5B6D">
        <w:rPr>
          <w:rFonts w:ascii="Times New Roman" w:hAnsi="Times New Roman"/>
          <w:i/>
          <w:sz w:val="22"/>
          <w:szCs w:val="22"/>
          <w:lang w:val="uk-UA" w:eastAsia="en-US"/>
        </w:rPr>
        <w:t>Україн</w:t>
      </w:r>
      <w:r w:rsidR="00F4029D" w:rsidRPr="009A5B6D">
        <w:rPr>
          <w:rFonts w:ascii="Times New Roman" w:hAnsi="Times New Roman"/>
          <w:i/>
          <w:sz w:val="22"/>
          <w:szCs w:val="22"/>
          <w:lang w:val="uk-UA" w:eastAsia="en-US"/>
        </w:rPr>
        <w:t>и</w:t>
      </w:r>
    </w:p>
    <w:p w14:paraId="67C8D078" w14:textId="78A81DEE" w:rsidR="00CC4574" w:rsidRPr="006D69CA" w:rsidRDefault="00CC4574" w:rsidP="00882689">
      <w:pPr>
        <w:spacing w:line="276" w:lineRule="auto"/>
        <w:ind w:firstLine="709"/>
        <w:jc w:val="both"/>
        <w:rPr>
          <w:sz w:val="22"/>
          <w:szCs w:val="22"/>
          <w:lang w:val="uk-UA"/>
        </w:rPr>
      </w:pPr>
      <w:r w:rsidRPr="009A5B6D">
        <w:rPr>
          <w:sz w:val="22"/>
          <w:szCs w:val="22"/>
          <w:lang w:val="uk-UA"/>
        </w:rPr>
        <w:t xml:space="preserve">Річне споживання моторних палив в Україні </w:t>
      </w:r>
      <w:r w:rsidR="001A1D32" w:rsidRPr="009A5B6D">
        <w:rPr>
          <w:sz w:val="22"/>
          <w:szCs w:val="22"/>
          <w:lang w:val="uk-UA"/>
        </w:rPr>
        <w:t>складає</w:t>
      </w:r>
      <w:r w:rsidRPr="009A5B6D">
        <w:rPr>
          <w:sz w:val="22"/>
          <w:szCs w:val="22"/>
          <w:lang w:val="uk-UA"/>
        </w:rPr>
        <w:t xml:space="preserve"> 1,8 млн т бензину, 5,2 млн т дизельного палива, 1,4 млн т пропану і бутану скраплених (2020 р.). З</w:t>
      </w:r>
      <w:r w:rsidRPr="009A5B6D">
        <w:rPr>
          <w:sz w:val="22"/>
          <w:szCs w:val="22"/>
          <w:shd w:val="clear" w:color="auto" w:fill="FFFFFF"/>
          <w:lang w:val="uk-UA"/>
        </w:rPr>
        <w:t>ростають темпи купівлі електромобілів – станом на кінець 2020 року в Україні зареєстровано майже 25 тисяч машин на електротязі</w:t>
      </w:r>
      <w:bookmarkStart w:id="0" w:name="_Ref82344812"/>
      <w:r w:rsidRPr="009A5B6D">
        <w:rPr>
          <w:sz w:val="22"/>
          <w:szCs w:val="22"/>
          <w:shd w:val="clear" w:color="auto" w:fill="FFFFFF"/>
          <w:lang w:val="uk-UA"/>
        </w:rPr>
        <w:t xml:space="preserve"> (</w:t>
      </w:r>
      <w:r w:rsidRPr="009A5B6D">
        <w:rPr>
          <w:bCs/>
          <w:sz w:val="22"/>
          <w:szCs w:val="22"/>
          <w:shd w:val="clear" w:color="auto" w:fill="FFFFFF"/>
          <w:lang w:val="uk-UA"/>
        </w:rPr>
        <w:t xml:space="preserve">рис. </w:t>
      </w:r>
      <w:r w:rsidR="00264C23" w:rsidRPr="009A5B6D">
        <w:rPr>
          <w:bCs/>
          <w:sz w:val="22"/>
          <w:szCs w:val="22"/>
          <w:shd w:val="clear" w:color="auto" w:fill="FFFFFF"/>
          <w:lang w:val="uk-UA"/>
        </w:rPr>
        <w:t>4</w:t>
      </w:r>
      <w:r w:rsidRPr="009A5B6D">
        <w:rPr>
          <w:sz w:val="22"/>
          <w:szCs w:val="22"/>
          <w:shd w:val="clear" w:color="auto" w:fill="FFFFFF"/>
          <w:lang w:val="uk-UA"/>
        </w:rPr>
        <w:t>) і</w:t>
      </w:r>
      <w:bookmarkEnd w:id="0"/>
      <w:r w:rsidRPr="009A5B6D">
        <w:rPr>
          <w:sz w:val="22"/>
          <w:szCs w:val="22"/>
          <w:shd w:val="clear" w:color="auto" w:fill="FFFFFF"/>
          <w:lang w:val="uk-UA"/>
        </w:rPr>
        <w:t xml:space="preserve"> близько 28 тис. гібридів</w:t>
      </w:r>
      <w:bookmarkStart w:id="1" w:name="_Ref82526414"/>
      <w:r w:rsidR="00D9290B" w:rsidRPr="009A5B6D">
        <w:rPr>
          <w:sz w:val="22"/>
          <w:szCs w:val="22"/>
          <w:shd w:val="clear" w:color="auto" w:fill="FFFFFF"/>
          <w:lang w:val="uk-UA"/>
        </w:rPr>
        <w:t xml:space="preserve"> </w:t>
      </w:r>
      <w:r w:rsidR="00D9290B" w:rsidRPr="009A5B6D">
        <w:rPr>
          <w:sz w:val="22"/>
          <w:szCs w:val="22"/>
        </w:rPr>
        <w:t>[</w:t>
      </w:r>
      <w:r w:rsidR="00704005" w:rsidRPr="009A5B6D">
        <w:rPr>
          <w:sz w:val="22"/>
          <w:szCs w:val="22"/>
          <w:lang w:val="uk-UA"/>
        </w:rPr>
        <w:t>9</w:t>
      </w:r>
      <w:r w:rsidR="00D9290B" w:rsidRPr="009A5B6D">
        <w:rPr>
          <w:sz w:val="22"/>
          <w:szCs w:val="22"/>
        </w:rPr>
        <w:t>]</w:t>
      </w:r>
      <w:bookmarkEnd w:id="1"/>
      <w:r w:rsidRPr="009A5B6D">
        <w:rPr>
          <w:sz w:val="22"/>
          <w:szCs w:val="22"/>
          <w:shd w:val="clear" w:color="auto" w:fill="FFFFFF"/>
          <w:lang w:val="uk-UA"/>
        </w:rPr>
        <w:t>.</w:t>
      </w:r>
    </w:p>
    <w:p w14:paraId="1DF2855B" w14:textId="77777777" w:rsidR="00CC4574" w:rsidRDefault="00CC4574" w:rsidP="00CC4574">
      <w:pPr>
        <w:spacing w:line="288" w:lineRule="auto"/>
        <w:jc w:val="both"/>
        <w:rPr>
          <w:sz w:val="24"/>
          <w:szCs w:val="24"/>
          <w:lang w:val="uk-UA"/>
        </w:rPr>
      </w:pPr>
    </w:p>
    <w:p w14:paraId="32753429" w14:textId="501769C3" w:rsidR="003C70EB" w:rsidRDefault="00164FBB" w:rsidP="00CC4574">
      <w:pPr>
        <w:spacing w:line="288" w:lineRule="auto"/>
        <w:jc w:val="center"/>
        <w:rPr>
          <w:sz w:val="24"/>
          <w:szCs w:val="24"/>
          <w:lang w:val="uk-UA"/>
        </w:rPr>
      </w:pPr>
      <w:r>
        <w:rPr>
          <w:noProof/>
          <w:sz w:val="24"/>
          <w:szCs w:val="24"/>
          <w:lang w:val="uk-UA" w:eastAsia="uk-UA"/>
        </w:rPr>
        <w:lastRenderedPageBreak/>
        <w:drawing>
          <wp:inline distT="0" distB="0" distL="0" distR="0" wp14:anchorId="2D414684" wp14:editId="23362372">
            <wp:extent cx="3130302" cy="177358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8661" cy="1800986"/>
                    </a:xfrm>
                    <a:prstGeom prst="rect">
                      <a:avLst/>
                    </a:prstGeom>
                  </pic:spPr>
                </pic:pic>
              </a:graphicData>
            </a:graphic>
          </wp:inline>
        </w:drawing>
      </w:r>
    </w:p>
    <w:p w14:paraId="28065973" w14:textId="72122B1D" w:rsidR="00CC4574" w:rsidRPr="00E30C50" w:rsidRDefault="00CC4574" w:rsidP="00CC4574">
      <w:pPr>
        <w:spacing w:before="60" w:line="288" w:lineRule="auto"/>
        <w:jc w:val="center"/>
        <w:rPr>
          <w:b/>
          <w:i/>
          <w:sz w:val="24"/>
          <w:szCs w:val="24"/>
        </w:rPr>
      </w:pPr>
      <w:r w:rsidRPr="009A5B6D">
        <w:rPr>
          <w:b/>
          <w:i/>
          <w:sz w:val="24"/>
          <w:szCs w:val="24"/>
          <w:lang w:val="uk-UA"/>
        </w:rPr>
        <w:t xml:space="preserve">Рис. </w:t>
      </w:r>
      <w:r w:rsidR="003C70EB" w:rsidRPr="009A5B6D">
        <w:rPr>
          <w:b/>
          <w:i/>
          <w:sz w:val="24"/>
          <w:szCs w:val="24"/>
          <w:lang w:val="uk-UA"/>
        </w:rPr>
        <w:t>4</w:t>
      </w:r>
      <w:r w:rsidRPr="009A5B6D">
        <w:rPr>
          <w:b/>
          <w:i/>
          <w:sz w:val="24"/>
          <w:szCs w:val="24"/>
          <w:lang w:val="uk-UA"/>
        </w:rPr>
        <w:t xml:space="preserve">. </w:t>
      </w:r>
      <w:r w:rsidR="00164FBB" w:rsidRPr="00164FBB">
        <w:rPr>
          <w:b/>
          <w:i/>
          <w:sz w:val="24"/>
          <w:szCs w:val="24"/>
          <w:lang w:val="uk-UA"/>
        </w:rPr>
        <w:t>Кількість реєстрацій електромобілів в Україні та динаміка росту по роках</w:t>
      </w:r>
      <w:r w:rsidR="00704005" w:rsidRPr="009A5B6D">
        <w:rPr>
          <w:b/>
          <w:i/>
          <w:sz w:val="24"/>
          <w:szCs w:val="24"/>
          <w:lang w:val="uk-UA"/>
        </w:rPr>
        <w:t xml:space="preserve"> </w:t>
      </w:r>
      <w:r w:rsidR="00704005" w:rsidRPr="009A5B6D">
        <w:rPr>
          <w:b/>
          <w:i/>
          <w:sz w:val="22"/>
          <w:szCs w:val="22"/>
        </w:rPr>
        <w:t>[</w:t>
      </w:r>
      <w:r w:rsidR="00704005" w:rsidRPr="009A5B6D">
        <w:rPr>
          <w:b/>
          <w:i/>
          <w:sz w:val="22"/>
          <w:szCs w:val="22"/>
          <w:lang w:val="uk-UA"/>
        </w:rPr>
        <w:t>9</w:t>
      </w:r>
      <w:r w:rsidR="00704005" w:rsidRPr="009A5B6D">
        <w:rPr>
          <w:b/>
          <w:i/>
          <w:sz w:val="22"/>
          <w:szCs w:val="22"/>
        </w:rPr>
        <w:t>]</w:t>
      </w:r>
    </w:p>
    <w:p w14:paraId="26F38883" w14:textId="77777777" w:rsidR="00CC4574" w:rsidRPr="009A5B6D" w:rsidRDefault="00CC4574" w:rsidP="006002C9">
      <w:pPr>
        <w:widowControl w:val="0"/>
        <w:spacing w:line="360" w:lineRule="auto"/>
        <w:ind w:firstLine="709"/>
        <w:jc w:val="both"/>
        <w:rPr>
          <w:sz w:val="22"/>
          <w:szCs w:val="22"/>
          <w:lang w:val="uk-UA"/>
        </w:rPr>
      </w:pPr>
    </w:p>
    <w:p w14:paraId="0E868459" w14:textId="11EFEEC0" w:rsidR="006002C9" w:rsidRPr="009A5B6D" w:rsidRDefault="006002C9" w:rsidP="00882689">
      <w:pPr>
        <w:widowControl w:val="0"/>
        <w:spacing w:line="276" w:lineRule="auto"/>
        <w:ind w:firstLine="709"/>
        <w:jc w:val="both"/>
        <w:rPr>
          <w:sz w:val="22"/>
          <w:szCs w:val="22"/>
          <w:lang w:val="uk-UA"/>
        </w:rPr>
      </w:pPr>
      <w:r w:rsidRPr="009A5B6D">
        <w:rPr>
          <w:sz w:val="22"/>
          <w:szCs w:val="22"/>
          <w:lang w:val="uk-UA"/>
        </w:rPr>
        <w:t xml:space="preserve">Споживання відновлюваної енергії в секторі транспорту </w:t>
      </w:r>
      <w:r w:rsidR="00CC4574" w:rsidRPr="009A5B6D">
        <w:rPr>
          <w:sz w:val="22"/>
          <w:szCs w:val="22"/>
          <w:lang w:val="uk-UA"/>
        </w:rPr>
        <w:t xml:space="preserve">України </w:t>
      </w:r>
      <w:r w:rsidRPr="009A5B6D">
        <w:rPr>
          <w:sz w:val="22"/>
          <w:szCs w:val="22"/>
          <w:lang w:val="uk-UA"/>
        </w:rPr>
        <w:t xml:space="preserve">включає біоетанол (88,1 тис. т н.е. у 2019 р.) і «зелену» електроенергію (49,12 тис. т н.е.) (табл. 3) </w:t>
      </w:r>
      <w:r w:rsidRPr="009A5B6D">
        <w:rPr>
          <w:sz w:val="22"/>
          <w:szCs w:val="22"/>
        </w:rPr>
        <w:t>[</w:t>
      </w:r>
      <w:r w:rsidR="00FE59AA" w:rsidRPr="009A5B6D">
        <w:rPr>
          <w:sz w:val="22"/>
          <w:szCs w:val="22"/>
          <w:lang w:val="uk-UA"/>
        </w:rPr>
        <w:t>1</w:t>
      </w:r>
      <w:r w:rsidR="005D4078" w:rsidRPr="009A5B6D">
        <w:rPr>
          <w:sz w:val="22"/>
          <w:szCs w:val="22"/>
        </w:rPr>
        <w:t>0]</w:t>
      </w:r>
      <w:r w:rsidRPr="009A5B6D">
        <w:rPr>
          <w:sz w:val="22"/>
          <w:szCs w:val="22"/>
        </w:rPr>
        <w:t>.</w:t>
      </w:r>
      <w:r w:rsidRPr="009A5B6D">
        <w:rPr>
          <w:sz w:val="22"/>
          <w:szCs w:val="22"/>
          <w:lang w:val="uk-UA"/>
        </w:rPr>
        <w:t xml:space="preserve"> Біодизельне паливо останніми роками не виробляється.</w:t>
      </w:r>
    </w:p>
    <w:p w14:paraId="598FFE55" w14:textId="77777777" w:rsidR="006002C9" w:rsidRPr="009A5B6D" w:rsidRDefault="006002C9" w:rsidP="00882689">
      <w:pPr>
        <w:spacing w:line="276" w:lineRule="auto"/>
        <w:jc w:val="both"/>
        <w:rPr>
          <w:sz w:val="24"/>
          <w:szCs w:val="24"/>
          <w:lang w:val="uk-UA"/>
        </w:rPr>
      </w:pPr>
    </w:p>
    <w:p w14:paraId="041CDEF8" w14:textId="39B3B5C7" w:rsidR="006002C9" w:rsidRPr="00E30C50" w:rsidRDefault="006002C9" w:rsidP="0074487A">
      <w:pPr>
        <w:jc w:val="both"/>
        <w:rPr>
          <w:sz w:val="22"/>
          <w:szCs w:val="22"/>
        </w:rPr>
      </w:pPr>
      <w:r w:rsidRPr="009A5B6D">
        <w:rPr>
          <w:sz w:val="22"/>
          <w:szCs w:val="22"/>
          <w:lang w:val="uk-UA"/>
        </w:rPr>
        <w:t>Табл</w:t>
      </w:r>
      <w:r w:rsidR="00476BAC" w:rsidRPr="009A5B6D">
        <w:rPr>
          <w:sz w:val="22"/>
          <w:szCs w:val="22"/>
          <w:lang w:val="uk-UA"/>
        </w:rPr>
        <w:t>.</w:t>
      </w:r>
      <w:r w:rsidRPr="009A5B6D">
        <w:rPr>
          <w:sz w:val="22"/>
          <w:szCs w:val="22"/>
          <w:lang w:val="uk-UA"/>
        </w:rPr>
        <w:t xml:space="preserve"> 3. Споживання рідких біопалив та відновлюваної електроенергії у транспортному секторі України, тис. т н.е.</w:t>
      </w:r>
      <w:r w:rsidR="006716EF" w:rsidRPr="009A5B6D">
        <w:rPr>
          <w:sz w:val="22"/>
          <w:szCs w:val="22"/>
          <w:lang w:val="uk-UA"/>
        </w:rPr>
        <w:t xml:space="preserve"> </w:t>
      </w:r>
      <w:r w:rsidR="006716EF" w:rsidRPr="009A5B6D">
        <w:rPr>
          <w:sz w:val="22"/>
          <w:szCs w:val="22"/>
        </w:rPr>
        <w:t>[</w:t>
      </w:r>
      <w:r w:rsidR="006716EF" w:rsidRPr="009A5B6D">
        <w:rPr>
          <w:sz w:val="22"/>
          <w:szCs w:val="22"/>
          <w:lang w:val="uk-UA"/>
        </w:rPr>
        <w:t>1</w:t>
      </w:r>
      <w:r w:rsidR="005D4078" w:rsidRPr="009A5B6D">
        <w:rPr>
          <w:sz w:val="22"/>
          <w:szCs w:val="22"/>
        </w:rPr>
        <w:t>1</w:t>
      </w:r>
      <w:r w:rsidR="006716EF" w:rsidRPr="009A5B6D">
        <w:rPr>
          <w:sz w:val="22"/>
          <w:szCs w:val="22"/>
        </w:rPr>
        <w:t>]</w:t>
      </w:r>
    </w:p>
    <w:tbl>
      <w:tblPr>
        <w:tblStyle w:val="a3"/>
        <w:tblW w:w="9634" w:type="dxa"/>
        <w:tblLook w:val="04A0" w:firstRow="1" w:lastRow="0" w:firstColumn="1" w:lastColumn="0" w:noHBand="0" w:noVBand="1"/>
      </w:tblPr>
      <w:tblGrid>
        <w:gridCol w:w="2689"/>
        <w:gridCol w:w="992"/>
        <w:gridCol w:w="992"/>
        <w:gridCol w:w="992"/>
        <w:gridCol w:w="992"/>
        <w:gridCol w:w="992"/>
        <w:gridCol w:w="992"/>
        <w:gridCol w:w="993"/>
      </w:tblGrid>
      <w:tr w:rsidR="006002C9" w:rsidRPr="009A5B6D" w14:paraId="04ED50C9" w14:textId="77777777" w:rsidTr="006002C9">
        <w:trPr>
          <w:trHeight w:val="116"/>
        </w:trPr>
        <w:tc>
          <w:tcPr>
            <w:tcW w:w="2689" w:type="dxa"/>
            <w:tcMar>
              <w:top w:w="57" w:type="dxa"/>
              <w:bottom w:w="28" w:type="dxa"/>
            </w:tcMar>
          </w:tcPr>
          <w:p w14:paraId="62A28CA2" w14:textId="77777777" w:rsidR="006002C9" w:rsidRPr="009A5B6D" w:rsidRDefault="006002C9" w:rsidP="00380384">
            <w:pPr>
              <w:jc w:val="center"/>
              <w:rPr>
                <w:bCs/>
                <w:sz w:val="22"/>
                <w:szCs w:val="22"/>
                <w:lang w:val="uk-UA"/>
              </w:rPr>
            </w:pPr>
            <w:r w:rsidRPr="009A5B6D">
              <w:rPr>
                <w:bCs/>
                <w:sz w:val="22"/>
                <w:szCs w:val="22"/>
                <w:lang w:val="uk-UA"/>
              </w:rPr>
              <w:t>Вид енергоносія</w:t>
            </w:r>
          </w:p>
        </w:tc>
        <w:tc>
          <w:tcPr>
            <w:tcW w:w="992" w:type="dxa"/>
            <w:tcMar>
              <w:top w:w="57" w:type="dxa"/>
              <w:bottom w:w="28" w:type="dxa"/>
            </w:tcMar>
            <w:vAlign w:val="center"/>
          </w:tcPr>
          <w:p w14:paraId="10FA1A11" w14:textId="77777777" w:rsidR="006002C9" w:rsidRPr="009A5B6D" w:rsidRDefault="006002C9" w:rsidP="006002C9">
            <w:pPr>
              <w:jc w:val="center"/>
              <w:rPr>
                <w:bCs/>
                <w:sz w:val="22"/>
                <w:szCs w:val="22"/>
              </w:rPr>
            </w:pPr>
            <w:r w:rsidRPr="009A5B6D">
              <w:rPr>
                <w:bCs/>
                <w:sz w:val="22"/>
                <w:szCs w:val="22"/>
              </w:rPr>
              <w:t>2013</w:t>
            </w:r>
          </w:p>
        </w:tc>
        <w:tc>
          <w:tcPr>
            <w:tcW w:w="992" w:type="dxa"/>
            <w:tcMar>
              <w:top w:w="57" w:type="dxa"/>
              <w:bottom w:w="28" w:type="dxa"/>
            </w:tcMar>
            <w:vAlign w:val="center"/>
          </w:tcPr>
          <w:p w14:paraId="65C6B146" w14:textId="77777777" w:rsidR="006002C9" w:rsidRPr="009A5B6D" w:rsidRDefault="006002C9" w:rsidP="006002C9">
            <w:pPr>
              <w:jc w:val="center"/>
              <w:rPr>
                <w:bCs/>
                <w:sz w:val="22"/>
                <w:szCs w:val="22"/>
              </w:rPr>
            </w:pPr>
            <w:r w:rsidRPr="009A5B6D">
              <w:rPr>
                <w:bCs/>
                <w:sz w:val="22"/>
                <w:szCs w:val="22"/>
              </w:rPr>
              <w:t>2014</w:t>
            </w:r>
          </w:p>
        </w:tc>
        <w:tc>
          <w:tcPr>
            <w:tcW w:w="992" w:type="dxa"/>
            <w:tcMar>
              <w:top w:w="57" w:type="dxa"/>
              <w:bottom w:w="28" w:type="dxa"/>
            </w:tcMar>
            <w:vAlign w:val="center"/>
          </w:tcPr>
          <w:p w14:paraId="128BC5FD" w14:textId="77777777" w:rsidR="006002C9" w:rsidRPr="009A5B6D" w:rsidRDefault="006002C9" w:rsidP="006002C9">
            <w:pPr>
              <w:jc w:val="center"/>
              <w:rPr>
                <w:bCs/>
                <w:sz w:val="22"/>
                <w:szCs w:val="22"/>
              </w:rPr>
            </w:pPr>
            <w:r w:rsidRPr="009A5B6D">
              <w:rPr>
                <w:bCs/>
                <w:sz w:val="22"/>
                <w:szCs w:val="22"/>
              </w:rPr>
              <w:t>2015</w:t>
            </w:r>
          </w:p>
        </w:tc>
        <w:tc>
          <w:tcPr>
            <w:tcW w:w="992" w:type="dxa"/>
            <w:tcMar>
              <w:top w:w="57" w:type="dxa"/>
              <w:bottom w:w="28" w:type="dxa"/>
            </w:tcMar>
            <w:vAlign w:val="center"/>
          </w:tcPr>
          <w:p w14:paraId="1737428B" w14:textId="77777777" w:rsidR="006002C9" w:rsidRPr="009A5B6D" w:rsidRDefault="006002C9" w:rsidP="006002C9">
            <w:pPr>
              <w:jc w:val="center"/>
              <w:rPr>
                <w:bCs/>
                <w:sz w:val="22"/>
                <w:szCs w:val="22"/>
              </w:rPr>
            </w:pPr>
            <w:r w:rsidRPr="009A5B6D">
              <w:rPr>
                <w:bCs/>
                <w:sz w:val="22"/>
                <w:szCs w:val="22"/>
              </w:rPr>
              <w:t>2016</w:t>
            </w:r>
          </w:p>
        </w:tc>
        <w:tc>
          <w:tcPr>
            <w:tcW w:w="992" w:type="dxa"/>
            <w:tcMar>
              <w:top w:w="57" w:type="dxa"/>
              <w:bottom w:w="28" w:type="dxa"/>
            </w:tcMar>
            <w:vAlign w:val="center"/>
          </w:tcPr>
          <w:p w14:paraId="3E009AD9" w14:textId="77777777" w:rsidR="006002C9" w:rsidRPr="009A5B6D" w:rsidRDefault="006002C9" w:rsidP="006002C9">
            <w:pPr>
              <w:jc w:val="center"/>
              <w:rPr>
                <w:bCs/>
                <w:sz w:val="22"/>
                <w:szCs w:val="22"/>
              </w:rPr>
            </w:pPr>
            <w:r w:rsidRPr="009A5B6D">
              <w:rPr>
                <w:bCs/>
                <w:sz w:val="22"/>
                <w:szCs w:val="22"/>
              </w:rPr>
              <w:t>2017</w:t>
            </w:r>
          </w:p>
        </w:tc>
        <w:tc>
          <w:tcPr>
            <w:tcW w:w="992" w:type="dxa"/>
            <w:tcMar>
              <w:top w:w="57" w:type="dxa"/>
              <w:bottom w:w="28" w:type="dxa"/>
            </w:tcMar>
            <w:vAlign w:val="center"/>
          </w:tcPr>
          <w:p w14:paraId="38415432" w14:textId="77777777" w:rsidR="006002C9" w:rsidRPr="009A5B6D" w:rsidRDefault="006002C9" w:rsidP="006002C9">
            <w:pPr>
              <w:jc w:val="center"/>
              <w:rPr>
                <w:bCs/>
                <w:sz w:val="22"/>
                <w:szCs w:val="22"/>
              </w:rPr>
            </w:pPr>
            <w:r w:rsidRPr="009A5B6D">
              <w:rPr>
                <w:bCs/>
                <w:sz w:val="22"/>
                <w:szCs w:val="22"/>
              </w:rPr>
              <w:t>2018</w:t>
            </w:r>
          </w:p>
        </w:tc>
        <w:tc>
          <w:tcPr>
            <w:tcW w:w="993" w:type="dxa"/>
            <w:tcMar>
              <w:top w:w="57" w:type="dxa"/>
              <w:bottom w:w="28" w:type="dxa"/>
            </w:tcMar>
            <w:vAlign w:val="center"/>
          </w:tcPr>
          <w:p w14:paraId="3D47C214" w14:textId="77777777" w:rsidR="006002C9" w:rsidRPr="009A5B6D" w:rsidRDefault="006002C9" w:rsidP="006002C9">
            <w:pPr>
              <w:jc w:val="center"/>
              <w:rPr>
                <w:bCs/>
                <w:sz w:val="22"/>
                <w:szCs w:val="22"/>
              </w:rPr>
            </w:pPr>
            <w:r w:rsidRPr="009A5B6D">
              <w:rPr>
                <w:bCs/>
                <w:sz w:val="22"/>
                <w:szCs w:val="22"/>
              </w:rPr>
              <w:t>2019</w:t>
            </w:r>
          </w:p>
        </w:tc>
      </w:tr>
      <w:tr w:rsidR="006002C9" w:rsidRPr="009A5B6D" w14:paraId="11232E20" w14:textId="77777777" w:rsidTr="006002C9">
        <w:tc>
          <w:tcPr>
            <w:tcW w:w="2689" w:type="dxa"/>
            <w:tcMar>
              <w:top w:w="57" w:type="dxa"/>
              <w:bottom w:w="28" w:type="dxa"/>
            </w:tcMar>
          </w:tcPr>
          <w:p w14:paraId="1F40E87E" w14:textId="77777777" w:rsidR="006002C9" w:rsidRPr="009A5B6D" w:rsidRDefault="006002C9" w:rsidP="006002C9">
            <w:pPr>
              <w:jc w:val="both"/>
              <w:rPr>
                <w:sz w:val="22"/>
                <w:szCs w:val="22"/>
              </w:rPr>
            </w:pPr>
            <w:r w:rsidRPr="009A5B6D">
              <w:rPr>
                <w:sz w:val="22"/>
                <w:szCs w:val="22"/>
              </w:rPr>
              <w:t>Біоетанол</w:t>
            </w:r>
          </w:p>
        </w:tc>
        <w:tc>
          <w:tcPr>
            <w:tcW w:w="992" w:type="dxa"/>
            <w:tcMar>
              <w:top w:w="57" w:type="dxa"/>
              <w:bottom w:w="28" w:type="dxa"/>
            </w:tcMar>
            <w:vAlign w:val="center"/>
          </w:tcPr>
          <w:p w14:paraId="1823E977" w14:textId="77777777" w:rsidR="006002C9" w:rsidRPr="009A5B6D" w:rsidRDefault="006002C9" w:rsidP="006002C9">
            <w:pPr>
              <w:jc w:val="center"/>
              <w:rPr>
                <w:sz w:val="22"/>
                <w:szCs w:val="22"/>
              </w:rPr>
            </w:pPr>
            <w:r w:rsidRPr="009A5B6D">
              <w:rPr>
                <w:sz w:val="22"/>
                <w:szCs w:val="22"/>
              </w:rPr>
              <w:t>42</w:t>
            </w:r>
          </w:p>
        </w:tc>
        <w:tc>
          <w:tcPr>
            <w:tcW w:w="992" w:type="dxa"/>
            <w:tcMar>
              <w:top w:w="57" w:type="dxa"/>
              <w:bottom w:w="28" w:type="dxa"/>
            </w:tcMar>
            <w:vAlign w:val="center"/>
          </w:tcPr>
          <w:p w14:paraId="34C03CD8" w14:textId="77777777" w:rsidR="006002C9" w:rsidRPr="009A5B6D" w:rsidRDefault="006002C9" w:rsidP="006002C9">
            <w:pPr>
              <w:jc w:val="center"/>
              <w:rPr>
                <w:sz w:val="22"/>
                <w:szCs w:val="22"/>
              </w:rPr>
            </w:pPr>
            <w:r w:rsidRPr="009A5B6D">
              <w:rPr>
                <w:sz w:val="22"/>
                <w:szCs w:val="22"/>
              </w:rPr>
              <w:t>42,4</w:t>
            </w:r>
          </w:p>
        </w:tc>
        <w:tc>
          <w:tcPr>
            <w:tcW w:w="992" w:type="dxa"/>
            <w:tcMar>
              <w:top w:w="57" w:type="dxa"/>
              <w:bottom w:w="28" w:type="dxa"/>
            </w:tcMar>
            <w:vAlign w:val="center"/>
          </w:tcPr>
          <w:p w14:paraId="4DEAF04D" w14:textId="77777777" w:rsidR="006002C9" w:rsidRPr="009A5B6D" w:rsidRDefault="006002C9" w:rsidP="006002C9">
            <w:pPr>
              <w:jc w:val="center"/>
              <w:rPr>
                <w:sz w:val="22"/>
                <w:szCs w:val="22"/>
              </w:rPr>
            </w:pPr>
            <w:r w:rsidRPr="009A5B6D">
              <w:rPr>
                <w:sz w:val="22"/>
                <w:szCs w:val="22"/>
              </w:rPr>
              <w:t>35,1</w:t>
            </w:r>
          </w:p>
        </w:tc>
        <w:tc>
          <w:tcPr>
            <w:tcW w:w="992" w:type="dxa"/>
            <w:tcMar>
              <w:top w:w="57" w:type="dxa"/>
              <w:bottom w:w="28" w:type="dxa"/>
            </w:tcMar>
            <w:vAlign w:val="center"/>
          </w:tcPr>
          <w:p w14:paraId="49119EE7" w14:textId="77777777" w:rsidR="006002C9" w:rsidRPr="009A5B6D" w:rsidRDefault="006002C9" w:rsidP="006002C9">
            <w:pPr>
              <w:jc w:val="center"/>
              <w:rPr>
                <w:sz w:val="22"/>
                <w:szCs w:val="22"/>
              </w:rPr>
            </w:pPr>
            <w:r w:rsidRPr="009A5B6D">
              <w:rPr>
                <w:sz w:val="22"/>
                <w:szCs w:val="22"/>
              </w:rPr>
              <w:t>38,4</w:t>
            </w:r>
          </w:p>
        </w:tc>
        <w:tc>
          <w:tcPr>
            <w:tcW w:w="992" w:type="dxa"/>
            <w:tcMar>
              <w:top w:w="57" w:type="dxa"/>
              <w:bottom w:w="28" w:type="dxa"/>
            </w:tcMar>
            <w:vAlign w:val="center"/>
          </w:tcPr>
          <w:p w14:paraId="4409D118" w14:textId="77777777" w:rsidR="006002C9" w:rsidRPr="009A5B6D" w:rsidRDefault="006002C9" w:rsidP="006002C9">
            <w:pPr>
              <w:jc w:val="center"/>
              <w:rPr>
                <w:sz w:val="22"/>
                <w:szCs w:val="22"/>
              </w:rPr>
            </w:pPr>
            <w:r w:rsidRPr="009A5B6D">
              <w:rPr>
                <w:sz w:val="22"/>
                <w:szCs w:val="22"/>
              </w:rPr>
              <w:t>47,01</w:t>
            </w:r>
          </w:p>
        </w:tc>
        <w:tc>
          <w:tcPr>
            <w:tcW w:w="992" w:type="dxa"/>
            <w:tcMar>
              <w:top w:w="57" w:type="dxa"/>
              <w:bottom w:w="28" w:type="dxa"/>
            </w:tcMar>
            <w:vAlign w:val="center"/>
          </w:tcPr>
          <w:p w14:paraId="47A76301" w14:textId="77777777" w:rsidR="006002C9" w:rsidRPr="009A5B6D" w:rsidRDefault="006002C9" w:rsidP="006002C9">
            <w:pPr>
              <w:jc w:val="center"/>
              <w:rPr>
                <w:sz w:val="22"/>
                <w:szCs w:val="22"/>
              </w:rPr>
            </w:pPr>
            <w:r w:rsidRPr="009A5B6D">
              <w:rPr>
                <w:sz w:val="22"/>
                <w:szCs w:val="22"/>
              </w:rPr>
              <w:t>37,24</w:t>
            </w:r>
          </w:p>
        </w:tc>
        <w:tc>
          <w:tcPr>
            <w:tcW w:w="993" w:type="dxa"/>
            <w:tcMar>
              <w:top w:w="57" w:type="dxa"/>
              <w:bottom w:w="28" w:type="dxa"/>
            </w:tcMar>
            <w:vAlign w:val="center"/>
          </w:tcPr>
          <w:p w14:paraId="7B8DFCAB" w14:textId="77777777" w:rsidR="006002C9" w:rsidRPr="009A5B6D" w:rsidRDefault="006002C9" w:rsidP="006002C9">
            <w:pPr>
              <w:jc w:val="center"/>
              <w:rPr>
                <w:sz w:val="22"/>
                <w:szCs w:val="22"/>
              </w:rPr>
            </w:pPr>
            <w:r w:rsidRPr="009A5B6D">
              <w:rPr>
                <w:sz w:val="22"/>
                <w:szCs w:val="22"/>
              </w:rPr>
              <w:t>88,1</w:t>
            </w:r>
          </w:p>
        </w:tc>
      </w:tr>
      <w:tr w:rsidR="006002C9" w:rsidRPr="009A5B6D" w14:paraId="0465526A" w14:textId="77777777" w:rsidTr="006002C9">
        <w:tc>
          <w:tcPr>
            <w:tcW w:w="2689" w:type="dxa"/>
            <w:tcMar>
              <w:top w:w="57" w:type="dxa"/>
              <w:bottom w:w="28" w:type="dxa"/>
            </w:tcMar>
          </w:tcPr>
          <w:p w14:paraId="0DAD3ACC" w14:textId="77777777" w:rsidR="006002C9" w:rsidRPr="009A5B6D" w:rsidRDefault="006002C9" w:rsidP="006002C9">
            <w:pPr>
              <w:jc w:val="both"/>
              <w:rPr>
                <w:sz w:val="22"/>
                <w:szCs w:val="22"/>
              </w:rPr>
            </w:pPr>
            <w:r w:rsidRPr="009A5B6D">
              <w:rPr>
                <w:sz w:val="22"/>
                <w:szCs w:val="22"/>
              </w:rPr>
              <w:t>Біодизель</w:t>
            </w:r>
          </w:p>
        </w:tc>
        <w:tc>
          <w:tcPr>
            <w:tcW w:w="992" w:type="dxa"/>
            <w:tcMar>
              <w:top w:w="57" w:type="dxa"/>
              <w:bottom w:w="28" w:type="dxa"/>
            </w:tcMar>
            <w:vAlign w:val="center"/>
          </w:tcPr>
          <w:p w14:paraId="49B56E4A" w14:textId="77777777" w:rsidR="006002C9" w:rsidRPr="009A5B6D" w:rsidRDefault="006002C9" w:rsidP="006002C9">
            <w:pPr>
              <w:jc w:val="center"/>
              <w:rPr>
                <w:sz w:val="22"/>
                <w:szCs w:val="22"/>
              </w:rPr>
            </w:pPr>
            <w:r w:rsidRPr="009A5B6D">
              <w:rPr>
                <w:sz w:val="22"/>
                <w:szCs w:val="22"/>
              </w:rPr>
              <w:t>-</w:t>
            </w:r>
          </w:p>
        </w:tc>
        <w:tc>
          <w:tcPr>
            <w:tcW w:w="992" w:type="dxa"/>
            <w:tcMar>
              <w:top w:w="57" w:type="dxa"/>
              <w:bottom w:w="28" w:type="dxa"/>
            </w:tcMar>
            <w:vAlign w:val="center"/>
          </w:tcPr>
          <w:p w14:paraId="5054DFFA" w14:textId="77777777" w:rsidR="006002C9" w:rsidRPr="009A5B6D" w:rsidRDefault="006002C9" w:rsidP="006002C9">
            <w:pPr>
              <w:jc w:val="center"/>
              <w:rPr>
                <w:sz w:val="22"/>
                <w:szCs w:val="22"/>
              </w:rPr>
            </w:pPr>
            <w:r w:rsidRPr="009A5B6D">
              <w:rPr>
                <w:sz w:val="22"/>
                <w:szCs w:val="22"/>
              </w:rPr>
              <w:t>-</w:t>
            </w:r>
          </w:p>
        </w:tc>
        <w:tc>
          <w:tcPr>
            <w:tcW w:w="992" w:type="dxa"/>
            <w:tcMar>
              <w:top w:w="57" w:type="dxa"/>
              <w:bottom w:w="28" w:type="dxa"/>
            </w:tcMar>
            <w:vAlign w:val="center"/>
          </w:tcPr>
          <w:p w14:paraId="63216484" w14:textId="77777777" w:rsidR="006002C9" w:rsidRPr="009A5B6D" w:rsidRDefault="006002C9" w:rsidP="006002C9">
            <w:pPr>
              <w:jc w:val="center"/>
              <w:rPr>
                <w:sz w:val="22"/>
                <w:szCs w:val="22"/>
              </w:rPr>
            </w:pPr>
            <w:r w:rsidRPr="009A5B6D">
              <w:rPr>
                <w:sz w:val="22"/>
                <w:szCs w:val="22"/>
              </w:rPr>
              <w:t>-</w:t>
            </w:r>
          </w:p>
        </w:tc>
        <w:tc>
          <w:tcPr>
            <w:tcW w:w="992" w:type="dxa"/>
            <w:tcMar>
              <w:top w:w="57" w:type="dxa"/>
              <w:bottom w:w="28" w:type="dxa"/>
            </w:tcMar>
            <w:vAlign w:val="center"/>
          </w:tcPr>
          <w:p w14:paraId="131A0EF9" w14:textId="77777777" w:rsidR="006002C9" w:rsidRPr="009A5B6D" w:rsidRDefault="006002C9" w:rsidP="006002C9">
            <w:pPr>
              <w:jc w:val="center"/>
              <w:rPr>
                <w:sz w:val="22"/>
                <w:szCs w:val="22"/>
              </w:rPr>
            </w:pPr>
            <w:r w:rsidRPr="009A5B6D">
              <w:rPr>
                <w:sz w:val="22"/>
                <w:szCs w:val="22"/>
              </w:rPr>
              <w:t>-</w:t>
            </w:r>
          </w:p>
        </w:tc>
        <w:tc>
          <w:tcPr>
            <w:tcW w:w="992" w:type="dxa"/>
            <w:tcMar>
              <w:top w:w="57" w:type="dxa"/>
              <w:bottom w:w="28" w:type="dxa"/>
            </w:tcMar>
            <w:vAlign w:val="center"/>
          </w:tcPr>
          <w:p w14:paraId="69BD12F6" w14:textId="77777777" w:rsidR="006002C9" w:rsidRPr="009A5B6D" w:rsidRDefault="006002C9" w:rsidP="006002C9">
            <w:pPr>
              <w:jc w:val="center"/>
              <w:rPr>
                <w:sz w:val="22"/>
                <w:szCs w:val="22"/>
              </w:rPr>
            </w:pPr>
            <w:r w:rsidRPr="009A5B6D">
              <w:rPr>
                <w:sz w:val="22"/>
                <w:szCs w:val="22"/>
              </w:rPr>
              <w:t>-</w:t>
            </w:r>
          </w:p>
        </w:tc>
        <w:tc>
          <w:tcPr>
            <w:tcW w:w="992" w:type="dxa"/>
            <w:tcMar>
              <w:top w:w="57" w:type="dxa"/>
              <w:bottom w:w="28" w:type="dxa"/>
            </w:tcMar>
            <w:vAlign w:val="center"/>
          </w:tcPr>
          <w:p w14:paraId="158D6387" w14:textId="77777777" w:rsidR="006002C9" w:rsidRPr="009A5B6D" w:rsidRDefault="006002C9" w:rsidP="006002C9">
            <w:pPr>
              <w:jc w:val="center"/>
              <w:rPr>
                <w:sz w:val="22"/>
                <w:szCs w:val="22"/>
              </w:rPr>
            </w:pPr>
            <w:r w:rsidRPr="009A5B6D">
              <w:rPr>
                <w:sz w:val="22"/>
                <w:szCs w:val="22"/>
              </w:rPr>
              <w:t>-</w:t>
            </w:r>
          </w:p>
        </w:tc>
        <w:tc>
          <w:tcPr>
            <w:tcW w:w="993" w:type="dxa"/>
            <w:tcMar>
              <w:top w:w="57" w:type="dxa"/>
              <w:bottom w:w="28" w:type="dxa"/>
            </w:tcMar>
            <w:vAlign w:val="center"/>
          </w:tcPr>
          <w:p w14:paraId="6C2FE4B1" w14:textId="77777777" w:rsidR="006002C9" w:rsidRPr="009A5B6D" w:rsidRDefault="006002C9" w:rsidP="006002C9">
            <w:pPr>
              <w:jc w:val="center"/>
              <w:rPr>
                <w:sz w:val="22"/>
                <w:szCs w:val="22"/>
                <w:lang w:val="uk-UA"/>
              </w:rPr>
            </w:pPr>
            <w:r w:rsidRPr="009A5B6D">
              <w:rPr>
                <w:sz w:val="22"/>
                <w:szCs w:val="22"/>
                <w:lang w:val="uk-UA"/>
              </w:rPr>
              <w:t>-</w:t>
            </w:r>
          </w:p>
        </w:tc>
      </w:tr>
      <w:tr w:rsidR="006002C9" w:rsidRPr="009A5B6D" w14:paraId="7645C01D" w14:textId="77777777" w:rsidTr="006002C9">
        <w:tc>
          <w:tcPr>
            <w:tcW w:w="2689" w:type="dxa"/>
            <w:tcMar>
              <w:top w:w="57" w:type="dxa"/>
              <w:bottom w:w="28" w:type="dxa"/>
            </w:tcMar>
          </w:tcPr>
          <w:p w14:paraId="3E176694" w14:textId="77777777" w:rsidR="006002C9" w:rsidRPr="009A5B6D" w:rsidRDefault="006002C9" w:rsidP="006002C9">
            <w:pPr>
              <w:jc w:val="both"/>
              <w:rPr>
                <w:sz w:val="22"/>
                <w:szCs w:val="22"/>
                <w:lang w:val="uk-UA"/>
              </w:rPr>
            </w:pPr>
            <w:r w:rsidRPr="009A5B6D">
              <w:rPr>
                <w:sz w:val="22"/>
                <w:szCs w:val="22"/>
                <w:lang w:val="uk-UA"/>
              </w:rPr>
              <w:t>Електроенергія з ВДЕ</w:t>
            </w:r>
          </w:p>
        </w:tc>
        <w:tc>
          <w:tcPr>
            <w:tcW w:w="992" w:type="dxa"/>
            <w:tcMar>
              <w:top w:w="57" w:type="dxa"/>
              <w:bottom w:w="28" w:type="dxa"/>
            </w:tcMar>
            <w:vAlign w:val="center"/>
          </w:tcPr>
          <w:p w14:paraId="22C70CD7" w14:textId="77777777" w:rsidR="006002C9" w:rsidRPr="009A5B6D" w:rsidRDefault="006002C9" w:rsidP="006002C9">
            <w:pPr>
              <w:jc w:val="center"/>
              <w:rPr>
                <w:sz w:val="22"/>
                <w:szCs w:val="22"/>
                <w:lang w:val="uk-UA"/>
              </w:rPr>
            </w:pPr>
            <w:r w:rsidRPr="009A5B6D">
              <w:rPr>
                <w:sz w:val="22"/>
                <w:szCs w:val="22"/>
                <w:lang w:val="uk-UA"/>
              </w:rPr>
              <w:t>65</w:t>
            </w:r>
          </w:p>
        </w:tc>
        <w:tc>
          <w:tcPr>
            <w:tcW w:w="992" w:type="dxa"/>
            <w:tcMar>
              <w:top w:w="57" w:type="dxa"/>
              <w:bottom w:w="28" w:type="dxa"/>
            </w:tcMar>
            <w:vAlign w:val="center"/>
          </w:tcPr>
          <w:p w14:paraId="49445C1C" w14:textId="77777777" w:rsidR="006002C9" w:rsidRPr="009A5B6D" w:rsidRDefault="006002C9" w:rsidP="006002C9">
            <w:pPr>
              <w:jc w:val="center"/>
              <w:rPr>
                <w:sz w:val="22"/>
                <w:szCs w:val="22"/>
                <w:lang w:val="uk-UA"/>
              </w:rPr>
            </w:pPr>
            <w:r w:rsidRPr="009A5B6D">
              <w:rPr>
                <w:sz w:val="22"/>
                <w:szCs w:val="22"/>
                <w:lang w:val="uk-UA"/>
              </w:rPr>
              <w:t>46,8*</w:t>
            </w:r>
          </w:p>
        </w:tc>
        <w:tc>
          <w:tcPr>
            <w:tcW w:w="992" w:type="dxa"/>
            <w:tcMar>
              <w:top w:w="57" w:type="dxa"/>
              <w:bottom w:w="28" w:type="dxa"/>
            </w:tcMar>
            <w:vAlign w:val="center"/>
          </w:tcPr>
          <w:p w14:paraId="5E8E8D5D" w14:textId="77777777" w:rsidR="006002C9" w:rsidRPr="009A5B6D" w:rsidRDefault="006002C9" w:rsidP="006002C9">
            <w:pPr>
              <w:jc w:val="center"/>
              <w:rPr>
                <w:sz w:val="22"/>
                <w:szCs w:val="22"/>
                <w:lang w:val="uk-UA"/>
              </w:rPr>
            </w:pPr>
            <w:r w:rsidRPr="009A5B6D">
              <w:rPr>
                <w:sz w:val="22"/>
                <w:szCs w:val="22"/>
                <w:lang w:val="uk-UA"/>
              </w:rPr>
              <w:t>41,2*</w:t>
            </w:r>
          </w:p>
        </w:tc>
        <w:tc>
          <w:tcPr>
            <w:tcW w:w="992" w:type="dxa"/>
            <w:tcMar>
              <w:top w:w="57" w:type="dxa"/>
              <w:bottom w:w="28" w:type="dxa"/>
            </w:tcMar>
            <w:vAlign w:val="center"/>
          </w:tcPr>
          <w:p w14:paraId="1DD217E8" w14:textId="77777777" w:rsidR="006002C9" w:rsidRPr="009A5B6D" w:rsidRDefault="006002C9" w:rsidP="006002C9">
            <w:pPr>
              <w:jc w:val="center"/>
              <w:rPr>
                <w:sz w:val="22"/>
                <w:szCs w:val="22"/>
                <w:lang w:val="uk-UA"/>
              </w:rPr>
            </w:pPr>
            <w:r w:rsidRPr="009A5B6D">
              <w:rPr>
                <w:sz w:val="22"/>
                <w:szCs w:val="22"/>
                <w:lang w:val="uk-UA"/>
              </w:rPr>
              <w:t>43,3*</w:t>
            </w:r>
          </w:p>
        </w:tc>
        <w:tc>
          <w:tcPr>
            <w:tcW w:w="992" w:type="dxa"/>
            <w:tcMar>
              <w:top w:w="57" w:type="dxa"/>
              <w:bottom w:w="28" w:type="dxa"/>
            </w:tcMar>
            <w:vAlign w:val="center"/>
          </w:tcPr>
          <w:p w14:paraId="1FEBE112" w14:textId="77777777" w:rsidR="006002C9" w:rsidRPr="009A5B6D" w:rsidRDefault="006002C9" w:rsidP="006002C9">
            <w:pPr>
              <w:jc w:val="center"/>
              <w:rPr>
                <w:sz w:val="22"/>
                <w:szCs w:val="22"/>
                <w:lang w:val="uk-UA"/>
              </w:rPr>
            </w:pPr>
            <w:r w:rsidRPr="009A5B6D">
              <w:rPr>
                <w:sz w:val="22"/>
                <w:szCs w:val="22"/>
                <w:lang w:val="uk-UA"/>
              </w:rPr>
              <w:t>48,2*</w:t>
            </w:r>
          </w:p>
        </w:tc>
        <w:tc>
          <w:tcPr>
            <w:tcW w:w="992" w:type="dxa"/>
            <w:tcMar>
              <w:top w:w="57" w:type="dxa"/>
              <w:bottom w:w="28" w:type="dxa"/>
            </w:tcMar>
            <w:vAlign w:val="center"/>
          </w:tcPr>
          <w:p w14:paraId="37263573" w14:textId="77777777" w:rsidR="006002C9" w:rsidRPr="009A5B6D" w:rsidRDefault="006002C9" w:rsidP="006002C9">
            <w:pPr>
              <w:jc w:val="center"/>
              <w:rPr>
                <w:sz w:val="22"/>
                <w:szCs w:val="22"/>
                <w:lang w:val="uk-UA"/>
              </w:rPr>
            </w:pPr>
            <w:r w:rsidRPr="009A5B6D">
              <w:rPr>
                <w:sz w:val="22"/>
                <w:szCs w:val="22"/>
                <w:lang w:val="uk-UA"/>
              </w:rPr>
              <w:t>47,29*</w:t>
            </w:r>
          </w:p>
        </w:tc>
        <w:tc>
          <w:tcPr>
            <w:tcW w:w="993" w:type="dxa"/>
            <w:tcMar>
              <w:top w:w="57" w:type="dxa"/>
              <w:bottom w:w="28" w:type="dxa"/>
            </w:tcMar>
            <w:vAlign w:val="center"/>
          </w:tcPr>
          <w:p w14:paraId="4FDD424F" w14:textId="77777777" w:rsidR="006002C9" w:rsidRPr="009A5B6D" w:rsidRDefault="006002C9" w:rsidP="006002C9">
            <w:pPr>
              <w:jc w:val="center"/>
              <w:rPr>
                <w:sz w:val="22"/>
                <w:szCs w:val="22"/>
                <w:lang w:val="uk-UA"/>
              </w:rPr>
            </w:pPr>
            <w:r w:rsidRPr="009A5B6D">
              <w:rPr>
                <w:sz w:val="22"/>
                <w:szCs w:val="22"/>
                <w:lang w:val="uk-UA"/>
              </w:rPr>
              <w:t>49,12*</w:t>
            </w:r>
          </w:p>
        </w:tc>
      </w:tr>
    </w:tbl>
    <w:p w14:paraId="6CE81C8E" w14:textId="77777777" w:rsidR="006002C9" w:rsidRPr="009A5B6D" w:rsidRDefault="006002C9" w:rsidP="006002C9">
      <w:pPr>
        <w:jc w:val="both"/>
        <w:rPr>
          <w:sz w:val="22"/>
          <w:szCs w:val="22"/>
          <w:lang w:val="uk-UA"/>
        </w:rPr>
      </w:pPr>
      <w:r w:rsidRPr="009A5B6D">
        <w:rPr>
          <w:sz w:val="22"/>
          <w:szCs w:val="22"/>
          <w:lang w:val="uk-UA"/>
        </w:rPr>
        <w:t>* Без застосування коефіцієнту помноження 2,5.</w:t>
      </w:r>
    </w:p>
    <w:p w14:paraId="4D860527" w14:textId="77777777" w:rsidR="006002C9" w:rsidRPr="009A5B6D" w:rsidRDefault="006002C9" w:rsidP="00FE4BF2">
      <w:pPr>
        <w:widowControl w:val="0"/>
        <w:spacing w:line="360" w:lineRule="auto"/>
        <w:ind w:firstLine="709"/>
        <w:jc w:val="both"/>
        <w:rPr>
          <w:sz w:val="22"/>
          <w:szCs w:val="22"/>
          <w:lang w:val="uk-UA"/>
        </w:rPr>
      </w:pPr>
    </w:p>
    <w:p w14:paraId="381FE304" w14:textId="06EF230C" w:rsidR="00BE7EAB" w:rsidRPr="009A5B6D" w:rsidRDefault="00BA2F3D" w:rsidP="00882689">
      <w:pPr>
        <w:widowControl w:val="0"/>
        <w:spacing w:line="276" w:lineRule="auto"/>
        <w:ind w:firstLine="709"/>
        <w:jc w:val="both"/>
        <w:rPr>
          <w:sz w:val="22"/>
          <w:szCs w:val="22"/>
          <w:lang w:val="uk-UA"/>
        </w:rPr>
      </w:pPr>
      <w:r w:rsidRPr="009A5B6D">
        <w:rPr>
          <w:sz w:val="22"/>
          <w:szCs w:val="22"/>
          <w:shd w:val="clear" w:color="auto" w:fill="FFFFFF"/>
          <w:lang w:val="uk-UA"/>
        </w:rPr>
        <w:t>Національни</w:t>
      </w:r>
      <w:r w:rsidR="00806DFD" w:rsidRPr="009A5B6D">
        <w:rPr>
          <w:sz w:val="22"/>
          <w:szCs w:val="22"/>
          <w:shd w:val="clear" w:color="auto" w:fill="FFFFFF"/>
          <w:lang w:val="uk-UA"/>
        </w:rPr>
        <w:t>м</w:t>
      </w:r>
      <w:r w:rsidRPr="009A5B6D">
        <w:rPr>
          <w:sz w:val="22"/>
          <w:szCs w:val="22"/>
          <w:shd w:val="clear" w:color="auto" w:fill="FFFFFF"/>
          <w:lang w:val="uk-UA"/>
        </w:rPr>
        <w:t xml:space="preserve"> план</w:t>
      </w:r>
      <w:r w:rsidR="00806DFD" w:rsidRPr="009A5B6D">
        <w:rPr>
          <w:sz w:val="22"/>
          <w:szCs w:val="22"/>
          <w:shd w:val="clear" w:color="auto" w:fill="FFFFFF"/>
          <w:lang w:val="uk-UA"/>
        </w:rPr>
        <w:t>ом</w:t>
      </w:r>
      <w:r w:rsidRPr="009A5B6D">
        <w:rPr>
          <w:sz w:val="22"/>
          <w:szCs w:val="22"/>
          <w:shd w:val="clear" w:color="auto" w:fill="FFFFFF"/>
          <w:lang w:val="uk-UA"/>
        </w:rPr>
        <w:t xml:space="preserve"> дій з відновлюваної енергетики на період до 2020 року</w:t>
      </w:r>
      <w:r w:rsidR="002F66B9" w:rsidRPr="009A5B6D">
        <w:rPr>
          <w:sz w:val="22"/>
          <w:szCs w:val="22"/>
          <w:shd w:val="clear" w:color="auto" w:fill="FFFFFF"/>
          <w:lang w:val="uk-UA"/>
        </w:rPr>
        <w:t xml:space="preserve"> </w:t>
      </w:r>
      <w:r w:rsidR="002F66B9" w:rsidRPr="009A5B6D">
        <w:rPr>
          <w:sz w:val="22"/>
          <w:szCs w:val="22"/>
        </w:rPr>
        <w:t>[</w:t>
      </w:r>
      <w:r w:rsidR="002F66B9" w:rsidRPr="009A5B6D">
        <w:rPr>
          <w:sz w:val="22"/>
          <w:szCs w:val="22"/>
          <w:lang w:val="uk-UA"/>
        </w:rPr>
        <w:t>1</w:t>
      </w:r>
      <w:r w:rsidR="005D4078" w:rsidRPr="009A5B6D">
        <w:rPr>
          <w:sz w:val="22"/>
          <w:szCs w:val="22"/>
        </w:rPr>
        <w:t>2</w:t>
      </w:r>
      <w:r w:rsidR="002F66B9" w:rsidRPr="009A5B6D">
        <w:rPr>
          <w:sz w:val="22"/>
          <w:szCs w:val="22"/>
        </w:rPr>
        <w:t>]</w:t>
      </w:r>
      <w:r w:rsidR="00806DFD" w:rsidRPr="009A5B6D">
        <w:rPr>
          <w:sz w:val="22"/>
          <w:szCs w:val="22"/>
          <w:shd w:val="clear" w:color="auto" w:fill="FFFFFF"/>
          <w:lang w:val="uk-UA"/>
        </w:rPr>
        <w:t xml:space="preserve">, затвердженим у </w:t>
      </w:r>
      <w:r w:rsidRPr="009A5B6D">
        <w:rPr>
          <w:sz w:val="22"/>
          <w:szCs w:val="22"/>
          <w:shd w:val="clear" w:color="auto" w:fill="FFFFFF"/>
          <w:lang w:val="uk-UA"/>
        </w:rPr>
        <w:t>2014 р.</w:t>
      </w:r>
      <w:r w:rsidR="00806DFD" w:rsidRPr="009A5B6D">
        <w:rPr>
          <w:sz w:val="22"/>
          <w:szCs w:val="22"/>
          <w:shd w:val="clear" w:color="auto" w:fill="FFFFFF"/>
          <w:lang w:val="uk-UA"/>
        </w:rPr>
        <w:t xml:space="preserve">, було </w:t>
      </w:r>
      <w:r w:rsidR="002444FC" w:rsidRPr="009A5B6D">
        <w:rPr>
          <w:sz w:val="22"/>
          <w:szCs w:val="22"/>
          <w:shd w:val="clear" w:color="auto" w:fill="FFFFFF"/>
          <w:lang w:val="uk-UA"/>
        </w:rPr>
        <w:t xml:space="preserve">поставлено за мету досягти </w:t>
      </w:r>
      <w:r w:rsidR="005100D0" w:rsidRPr="009A5B6D">
        <w:rPr>
          <w:sz w:val="22"/>
          <w:szCs w:val="22"/>
          <w:shd w:val="clear" w:color="auto" w:fill="FFFFFF"/>
          <w:lang w:val="uk-UA"/>
        </w:rPr>
        <w:t xml:space="preserve">не менше 11% ВДЕ </w:t>
      </w:r>
      <w:r w:rsidR="005100D0" w:rsidRPr="009A5B6D">
        <w:rPr>
          <w:sz w:val="22"/>
          <w:szCs w:val="22"/>
          <w:lang w:val="uk-UA"/>
        </w:rPr>
        <w:t>у валовому кінцевому обсязі споживання енергії до 2020 року. По окреми</w:t>
      </w:r>
      <w:r w:rsidR="002E231D" w:rsidRPr="009A5B6D">
        <w:rPr>
          <w:sz w:val="22"/>
          <w:szCs w:val="22"/>
          <w:lang w:val="uk-UA"/>
        </w:rPr>
        <w:t>м</w:t>
      </w:r>
      <w:r w:rsidR="005100D0" w:rsidRPr="009A5B6D">
        <w:rPr>
          <w:sz w:val="22"/>
          <w:szCs w:val="22"/>
          <w:lang w:val="uk-UA"/>
        </w:rPr>
        <w:t xml:space="preserve"> сектора</w:t>
      </w:r>
      <w:r w:rsidR="002E231D" w:rsidRPr="009A5B6D">
        <w:rPr>
          <w:sz w:val="22"/>
          <w:szCs w:val="22"/>
          <w:lang w:val="uk-UA"/>
        </w:rPr>
        <w:t>м</w:t>
      </w:r>
      <w:r w:rsidR="005100D0" w:rsidRPr="009A5B6D">
        <w:rPr>
          <w:sz w:val="22"/>
          <w:szCs w:val="22"/>
          <w:lang w:val="uk-UA"/>
        </w:rPr>
        <w:t xml:space="preserve"> цілі були</w:t>
      </w:r>
      <w:r w:rsidR="00BE7EAB" w:rsidRPr="009A5B6D">
        <w:rPr>
          <w:sz w:val="22"/>
          <w:szCs w:val="22"/>
          <w:lang w:val="uk-UA"/>
        </w:rPr>
        <w:t>:</w:t>
      </w:r>
      <w:r w:rsidR="005100D0" w:rsidRPr="009A5B6D">
        <w:rPr>
          <w:sz w:val="22"/>
          <w:szCs w:val="22"/>
          <w:lang w:val="uk-UA"/>
        </w:rPr>
        <w:t xml:space="preserve"> </w:t>
      </w:r>
      <w:r w:rsidR="002F66B9" w:rsidRPr="009A5B6D">
        <w:rPr>
          <w:sz w:val="22"/>
          <w:szCs w:val="22"/>
          <w:lang w:val="uk-UA"/>
        </w:rPr>
        <w:t xml:space="preserve">12,4% </w:t>
      </w:r>
      <w:r w:rsidR="005100D0" w:rsidRPr="009A5B6D">
        <w:rPr>
          <w:sz w:val="22"/>
          <w:szCs w:val="22"/>
          <w:lang w:val="uk-UA"/>
        </w:rPr>
        <w:t>відновлюваної енергії</w:t>
      </w:r>
      <w:r w:rsidR="002F66B9" w:rsidRPr="009A5B6D">
        <w:rPr>
          <w:sz w:val="22"/>
          <w:szCs w:val="22"/>
          <w:lang w:val="uk-UA"/>
        </w:rPr>
        <w:t xml:space="preserve"> </w:t>
      </w:r>
      <w:r w:rsidR="002F66B9" w:rsidRPr="009A5B6D">
        <w:rPr>
          <w:sz w:val="22"/>
          <w:szCs w:val="22"/>
          <w:shd w:val="clear" w:color="auto" w:fill="FFFFFF"/>
          <w:lang w:val="uk-UA"/>
        </w:rPr>
        <w:t>в системах опалення та охолодження,</w:t>
      </w:r>
      <w:r w:rsidR="002F66B9" w:rsidRPr="009A5B6D">
        <w:rPr>
          <w:sz w:val="22"/>
          <w:szCs w:val="22"/>
          <w:lang w:val="uk-UA"/>
        </w:rPr>
        <w:t xml:space="preserve"> 11% в електроенергетиці, 10% у транспортному секторі</w:t>
      </w:r>
      <w:r w:rsidR="005100D0" w:rsidRPr="009A5B6D">
        <w:rPr>
          <w:sz w:val="22"/>
          <w:szCs w:val="22"/>
          <w:lang w:val="uk-UA"/>
        </w:rPr>
        <w:t xml:space="preserve">. </w:t>
      </w:r>
    </w:p>
    <w:p w14:paraId="703237A2" w14:textId="0406490A" w:rsidR="002741A6" w:rsidRPr="009A5B6D" w:rsidRDefault="005100D0" w:rsidP="00882689">
      <w:pPr>
        <w:widowControl w:val="0"/>
        <w:spacing w:line="276" w:lineRule="auto"/>
        <w:ind w:firstLine="709"/>
        <w:jc w:val="both"/>
        <w:rPr>
          <w:sz w:val="22"/>
          <w:szCs w:val="22"/>
          <w:lang w:val="uk-UA"/>
        </w:rPr>
      </w:pPr>
      <w:r w:rsidRPr="009A5B6D">
        <w:rPr>
          <w:sz w:val="22"/>
          <w:szCs w:val="22"/>
          <w:lang w:val="uk-UA"/>
        </w:rPr>
        <w:t>За даними Держенергоефективності, у 2019 р. частка енергії, вироблен</w:t>
      </w:r>
      <w:r w:rsidR="00BE7EAB" w:rsidRPr="009A5B6D">
        <w:rPr>
          <w:sz w:val="22"/>
          <w:szCs w:val="22"/>
          <w:lang w:val="uk-UA"/>
        </w:rPr>
        <w:t>ої</w:t>
      </w:r>
      <w:r w:rsidRPr="009A5B6D">
        <w:rPr>
          <w:sz w:val="22"/>
          <w:szCs w:val="22"/>
          <w:lang w:val="uk-UA"/>
        </w:rPr>
        <w:t xml:space="preserve"> з відновлюваних джерел, у кінцевому енергоспоживанні склала 8,1% (план НПДВЕ 2020 – 10,1%)</w:t>
      </w:r>
      <w:r w:rsidR="00BE7EAB" w:rsidRPr="009A5B6D">
        <w:rPr>
          <w:sz w:val="22"/>
          <w:szCs w:val="22"/>
          <w:lang w:val="uk-UA"/>
        </w:rPr>
        <w:t>;</w:t>
      </w:r>
      <w:r w:rsidRPr="009A5B6D">
        <w:rPr>
          <w:sz w:val="22"/>
          <w:szCs w:val="22"/>
          <w:lang w:val="uk-UA"/>
        </w:rPr>
        <w:t xml:space="preserve"> зокрема, в електроенергетиці – 10,9% (співпадає з планом), в системах опалення – 9,0% (план 11,2%), у транспортному секторі – 3,1% (план 9%) </w:t>
      </w:r>
      <w:r w:rsidRPr="009A5B6D">
        <w:rPr>
          <w:sz w:val="22"/>
          <w:szCs w:val="22"/>
        </w:rPr>
        <w:t>[</w:t>
      </w:r>
      <w:r w:rsidRPr="009A5B6D">
        <w:rPr>
          <w:sz w:val="22"/>
          <w:szCs w:val="22"/>
          <w:lang w:val="uk-UA"/>
        </w:rPr>
        <w:t>1</w:t>
      </w:r>
      <w:r w:rsidR="005D4078" w:rsidRPr="009A5B6D">
        <w:rPr>
          <w:sz w:val="22"/>
          <w:szCs w:val="22"/>
        </w:rPr>
        <w:t>3</w:t>
      </w:r>
      <w:r w:rsidRPr="009A5B6D">
        <w:rPr>
          <w:sz w:val="22"/>
          <w:szCs w:val="22"/>
        </w:rPr>
        <w:t>]</w:t>
      </w:r>
      <w:r w:rsidRPr="009A5B6D">
        <w:rPr>
          <w:sz w:val="22"/>
          <w:szCs w:val="22"/>
          <w:lang w:val="uk-UA"/>
        </w:rPr>
        <w:t>.</w:t>
      </w:r>
      <w:r w:rsidR="002741A6" w:rsidRPr="009A5B6D">
        <w:rPr>
          <w:sz w:val="22"/>
          <w:szCs w:val="22"/>
          <w:lang w:val="uk-UA"/>
        </w:rPr>
        <w:t xml:space="preserve"> Існуюча динаміка росту використання ВДЕ в окремих секторах показує можливість перевищення індикативної цілі НПДВЕ 2020 в електроенергетиці і її недосягнення в інших секторах. Найбільші виклики пов’язані із впровадженням відновлюваної енергії </w:t>
      </w:r>
      <w:r w:rsidR="00BE7EAB" w:rsidRPr="009A5B6D">
        <w:rPr>
          <w:sz w:val="22"/>
          <w:szCs w:val="22"/>
          <w:lang w:val="uk-UA"/>
        </w:rPr>
        <w:t>на транспорті</w:t>
      </w:r>
      <w:r w:rsidR="002741A6" w:rsidRPr="009A5B6D">
        <w:rPr>
          <w:sz w:val="22"/>
          <w:szCs w:val="22"/>
          <w:lang w:val="uk-UA"/>
        </w:rPr>
        <w:t xml:space="preserve">, що свідчить про необхідність приділення більшої уваги саме йому. </w:t>
      </w:r>
    </w:p>
    <w:p w14:paraId="0926B4FB" w14:textId="1F2045D3" w:rsidR="002741A6" w:rsidRPr="009A5B6D" w:rsidRDefault="002741A6" w:rsidP="00882689">
      <w:pPr>
        <w:widowControl w:val="0"/>
        <w:spacing w:line="276" w:lineRule="auto"/>
        <w:ind w:firstLine="709"/>
        <w:jc w:val="both"/>
        <w:rPr>
          <w:sz w:val="22"/>
          <w:szCs w:val="22"/>
          <w:lang w:val="uk-UA"/>
        </w:rPr>
      </w:pPr>
      <w:r w:rsidRPr="009A5B6D">
        <w:rPr>
          <w:sz w:val="22"/>
          <w:szCs w:val="22"/>
          <w:lang w:val="uk-UA"/>
        </w:rPr>
        <w:t xml:space="preserve">У 2020 році у Верховній Раді зареєстровано проєкт Закону України “Про внесення змін до деяких законодавчих актів України щодо обов’язковості використання рідкого біопалива (біокомпонентів) у галузі транспорту” (№ 3356-д від 05.11.2020). Законопроєктом поставлено ціль по обов’язковій частці вмісту рідкого біопалива (біокомпонентів) в обсягах бензинів автомобільних (за виключенням бензинів з октановим числом 98 і вище та бензинів, що поставляються для потреб Міністерства оборони, Державного резерву та для створення мінімальних запасів нафти та нафтопродуктів): з 01.05.2022 – не менш як 5 % (об’ємних) за абсолютної похибки визначення ±0,5%. Також введено критерії сталості </w:t>
      </w:r>
      <w:r w:rsidR="006D52DF" w:rsidRPr="009A5B6D">
        <w:rPr>
          <w:sz w:val="22"/>
          <w:szCs w:val="22"/>
          <w:lang w:val="uk-UA"/>
        </w:rPr>
        <w:t xml:space="preserve">для </w:t>
      </w:r>
      <w:r w:rsidRPr="009A5B6D">
        <w:rPr>
          <w:sz w:val="22"/>
          <w:szCs w:val="22"/>
          <w:lang w:val="uk-UA"/>
        </w:rPr>
        <w:t xml:space="preserve">рідкого палива з біомаси та </w:t>
      </w:r>
      <w:r w:rsidR="00715F6E" w:rsidRPr="009A5B6D">
        <w:rPr>
          <w:sz w:val="22"/>
          <w:szCs w:val="22"/>
          <w:lang w:val="uk-UA"/>
        </w:rPr>
        <w:t xml:space="preserve">для </w:t>
      </w:r>
      <w:r w:rsidRPr="009A5B6D">
        <w:rPr>
          <w:sz w:val="22"/>
          <w:szCs w:val="22"/>
          <w:lang w:val="uk-UA"/>
        </w:rPr>
        <w:t xml:space="preserve">біогазу, призначеного для використання на транспорті, гармонізовані з Директивою RED II. Ці критерії сталості стосуються вимог по скороченню викидів парникових газів від використання зазначених видів біопалива та заборони використання окремих земельних ділянок для отримання сировини, необхідної для </w:t>
      </w:r>
      <w:r w:rsidRPr="009A5B6D">
        <w:rPr>
          <w:sz w:val="22"/>
          <w:szCs w:val="22"/>
          <w:lang w:val="uk-UA"/>
        </w:rPr>
        <w:lastRenderedPageBreak/>
        <w:t>виробництва таких видів біопалива. Прийняття і виконання даного закону матиме безперечний позитивний вплив на розвиток ринку моторних біопалив в Україні.</w:t>
      </w:r>
    </w:p>
    <w:p w14:paraId="1A70F1A8" w14:textId="79A8B785" w:rsidR="00FE2DF6" w:rsidRPr="009A5B6D" w:rsidRDefault="00FE2DF6" w:rsidP="00882689">
      <w:pPr>
        <w:widowControl w:val="0"/>
        <w:spacing w:line="276" w:lineRule="auto"/>
        <w:ind w:firstLine="709"/>
        <w:jc w:val="both"/>
        <w:rPr>
          <w:sz w:val="22"/>
          <w:szCs w:val="22"/>
          <w:lang w:val="uk-UA"/>
        </w:rPr>
      </w:pPr>
      <w:r w:rsidRPr="009A5B6D">
        <w:rPr>
          <w:sz w:val="22"/>
          <w:szCs w:val="22"/>
          <w:lang w:val="uk-UA"/>
        </w:rPr>
        <w:t>Національною транспортною стратегією України на період до 2030 року (2018 р.) [1</w:t>
      </w:r>
      <w:r w:rsidR="005D4078" w:rsidRPr="009A5B6D">
        <w:rPr>
          <w:sz w:val="22"/>
          <w:szCs w:val="22"/>
        </w:rPr>
        <w:t>4</w:t>
      </w:r>
      <w:r w:rsidRPr="009A5B6D">
        <w:rPr>
          <w:sz w:val="22"/>
          <w:szCs w:val="22"/>
          <w:lang w:val="uk-UA"/>
        </w:rPr>
        <w:t xml:space="preserve">] передбачено суттєве збільшення обсягів споживання відновлюваної енергії та електроенергії на транспорті. </w:t>
      </w:r>
      <w:r w:rsidR="00715F6E" w:rsidRPr="009A5B6D">
        <w:rPr>
          <w:sz w:val="22"/>
          <w:szCs w:val="22"/>
          <w:lang w:val="uk-UA"/>
        </w:rPr>
        <w:t xml:space="preserve">Очікувані </w:t>
      </w:r>
      <w:r w:rsidRPr="009A5B6D">
        <w:rPr>
          <w:sz w:val="22"/>
          <w:szCs w:val="22"/>
          <w:lang w:val="uk-UA"/>
        </w:rPr>
        <w:t>результат</w:t>
      </w:r>
      <w:r w:rsidR="00715F6E" w:rsidRPr="009A5B6D">
        <w:rPr>
          <w:sz w:val="22"/>
          <w:szCs w:val="22"/>
          <w:lang w:val="uk-UA"/>
        </w:rPr>
        <w:t>и</w:t>
      </w:r>
      <w:r w:rsidRPr="009A5B6D">
        <w:rPr>
          <w:sz w:val="22"/>
          <w:szCs w:val="22"/>
          <w:lang w:val="uk-UA"/>
        </w:rPr>
        <w:t xml:space="preserve"> реалізації Стратегії</w:t>
      </w:r>
      <w:r w:rsidR="00715F6E" w:rsidRPr="009A5B6D">
        <w:rPr>
          <w:sz w:val="22"/>
          <w:szCs w:val="22"/>
          <w:lang w:val="uk-UA"/>
        </w:rPr>
        <w:t xml:space="preserve"> до 2030 р.</w:t>
      </w:r>
      <w:r w:rsidRPr="009A5B6D">
        <w:rPr>
          <w:sz w:val="22"/>
          <w:szCs w:val="22"/>
          <w:lang w:val="uk-UA"/>
        </w:rPr>
        <w:t xml:space="preserve">, </w:t>
      </w:r>
      <w:r w:rsidR="00715F6E" w:rsidRPr="009A5B6D">
        <w:rPr>
          <w:sz w:val="22"/>
          <w:szCs w:val="22"/>
          <w:lang w:val="uk-UA"/>
        </w:rPr>
        <w:t>серед іншого, включають</w:t>
      </w:r>
      <w:r w:rsidRPr="009A5B6D">
        <w:rPr>
          <w:sz w:val="22"/>
          <w:szCs w:val="22"/>
          <w:lang w:val="uk-UA"/>
        </w:rPr>
        <w:t>:</w:t>
      </w:r>
      <w:r w:rsidR="00DF5C66" w:rsidRPr="009A5B6D">
        <w:rPr>
          <w:sz w:val="22"/>
          <w:szCs w:val="22"/>
          <w:lang w:val="uk-UA"/>
        </w:rPr>
        <w:t xml:space="preserve"> </w:t>
      </w:r>
      <w:r w:rsidRPr="009A5B6D">
        <w:rPr>
          <w:sz w:val="22"/>
          <w:szCs w:val="22"/>
          <w:lang w:val="uk-UA"/>
        </w:rPr>
        <w:t>збільшення частки використання електротранспорту та електромобілів, зокрема доведення частки електротранспорту у внутрішньому сполученні до 75%;</w:t>
      </w:r>
      <w:r w:rsidR="00DF5C66" w:rsidRPr="009A5B6D">
        <w:rPr>
          <w:sz w:val="22"/>
          <w:szCs w:val="22"/>
          <w:lang w:val="uk-UA"/>
        </w:rPr>
        <w:t xml:space="preserve"> </w:t>
      </w:r>
      <w:bookmarkStart w:id="2" w:name="n430"/>
      <w:bookmarkEnd w:id="2"/>
      <w:r w:rsidRPr="009A5B6D">
        <w:rPr>
          <w:sz w:val="22"/>
          <w:szCs w:val="22"/>
          <w:lang w:val="uk-UA"/>
        </w:rPr>
        <w:t>збільшення рівня застосування альтернативних видів палива та електроенергії до 50%.</w:t>
      </w:r>
    </w:p>
    <w:p w14:paraId="454DD172" w14:textId="12A625B5" w:rsidR="006002C9" w:rsidRPr="009A5B6D" w:rsidRDefault="00532E15" w:rsidP="00882689">
      <w:pPr>
        <w:widowControl w:val="0"/>
        <w:spacing w:line="276" w:lineRule="auto"/>
        <w:ind w:firstLine="709"/>
        <w:jc w:val="both"/>
        <w:rPr>
          <w:sz w:val="22"/>
          <w:szCs w:val="22"/>
          <w:lang w:val="uk-UA"/>
        </w:rPr>
      </w:pPr>
      <w:r w:rsidRPr="009A5B6D">
        <w:rPr>
          <w:sz w:val="22"/>
          <w:szCs w:val="22"/>
          <w:lang w:val="uk-UA"/>
        </w:rPr>
        <w:t>Перспективи розвитку сектору транспорту України було змодельовано і проаналізовано при формуванні і обґрунтуванні Оновленого національно визначеного внеску України до Паризької Угоди [15]. Згідно отриманих результатів, з</w:t>
      </w:r>
      <w:r w:rsidRPr="009A5B6D">
        <w:rPr>
          <w:sz w:val="22"/>
          <w:szCs w:val="22"/>
          <w:shd w:val="clear" w:color="auto" w:fill="FFFFFF"/>
          <w:lang w:val="uk-UA"/>
        </w:rPr>
        <w:t xml:space="preserve">агальне споживання енергії на транспорті у 2030 р. становитиме </w:t>
      </w:r>
      <w:r w:rsidR="00AF6342" w:rsidRPr="009A5B6D">
        <w:rPr>
          <w:sz w:val="22"/>
          <w:szCs w:val="22"/>
          <w:shd w:val="clear" w:color="auto" w:fill="FFFFFF"/>
          <w:lang w:val="uk-UA"/>
        </w:rPr>
        <w:t>близько</w:t>
      </w:r>
      <w:r w:rsidRPr="009A5B6D">
        <w:rPr>
          <w:sz w:val="22"/>
          <w:szCs w:val="22"/>
          <w:shd w:val="clear" w:color="auto" w:fill="FFFFFF"/>
          <w:lang w:val="uk-UA"/>
        </w:rPr>
        <w:t xml:space="preserve"> 6,7 млн т н.е. Близько 90% українського автопарку в 2030 році будуть займати застарілі та імпортовані з-за кордону моделі транспорту. Буде відбуватися незначний перехід з викопного палива на електроенергію. Очікується, що у 2030 році близько 3% українського парку легкових автомобілів становитимуть електромобілі, які працюють від акумуляторів. Незважаючи на те, що така тенденція не дозволить досягти мети Транспортної стратегії України </w:t>
      </w:r>
      <w:r w:rsidR="00B36516" w:rsidRPr="009A5B6D">
        <w:rPr>
          <w:sz w:val="22"/>
          <w:szCs w:val="22"/>
          <w:shd w:val="clear" w:color="auto" w:fill="FFFFFF"/>
          <w:lang w:val="uk-UA"/>
        </w:rPr>
        <w:t>(</w:t>
      </w:r>
      <w:r w:rsidRPr="009A5B6D">
        <w:rPr>
          <w:sz w:val="22"/>
          <w:szCs w:val="22"/>
          <w:shd w:val="clear" w:color="auto" w:fill="FFFFFF"/>
          <w:lang w:val="uk-UA"/>
        </w:rPr>
        <w:t xml:space="preserve">50% </w:t>
      </w:r>
      <w:r w:rsidRPr="009A5B6D">
        <w:rPr>
          <w:sz w:val="22"/>
          <w:szCs w:val="22"/>
          <w:lang w:val="uk-UA"/>
        </w:rPr>
        <w:t>альтернативних видів палива та електроенергії</w:t>
      </w:r>
      <w:r w:rsidRPr="009A5B6D">
        <w:rPr>
          <w:sz w:val="22"/>
          <w:szCs w:val="22"/>
          <w:shd w:val="clear" w:color="auto" w:fill="FFFFFF"/>
          <w:lang w:val="uk-UA"/>
        </w:rPr>
        <w:t xml:space="preserve"> на транспорті у 2030 році</w:t>
      </w:r>
      <w:r w:rsidR="00B36516" w:rsidRPr="009A5B6D">
        <w:rPr>
          <w:sz w:val="22"/>
          <w:szCs w:val="22"/>
          <w:shd w:val="clear" w:color="auto" w:fill="FFFFFF"/>
          <w:lang w:val="uk-UA"/>
        </w:rPr>
        <w:t>)</w:t>
      </w:r>
      <w:r w:rsidRPr="009A5B6D">
        <w:rPr>
          <w:sz w:val="22"/>
          <w:szCs w:val="22"/>
          <w:shd w:val="clear" w:color="auto" w:fill="FFFFFF"/>
          <w:lang w:val="uk-UA"/>
        </w:rPr>
        <w:t xml:space="preserve">, це реальний перший крок до зміни структури </w:t>
      </w:r>
      <w:r w:rsidR="00F15392" w:rsidRPr="009A5B6D">
        <w:rPr>
          <w:sz w:val="22"/>
          <w:szCs w:val="22"/>
          <w:shd w:val="clear" w:color="auto" w:fill="FFFFFF"/>
          <w:lang w:val="uk-UA"/>
        </w:rPr>
        <w:t>енергоспоживання</w:t>
      </w:r>
      <w:r w:rsidRPr="009A5B6D">
        <w:rPr>
          <w:sz w:val="22"/>
          <w:szCs w:val="22"/>
          <w:shd w:val="clear" w:color="auto" w:fill="FFFFFF"/>
          <w:lang w:val="uk-UA"/>
        </w:rPr>
        <w:t xml:space="preserve"> у транспортному секторі.</w:t>
      </w:r>
    </w:p>
    <w:p w14:paraId="179DA2B4" w14:textId="2CC7C979" w:rsidR="005100D0" w:rsidRPr="009A5B6D" w:rsidRDefault="004D6BDC" w:rsidP="00882689">
      <w:pPr>
        <w:widowControl w:val="0"/>
        <w:spacing w:line="276" w:lineRule="auto"/>
        <w:ind w:firstLine="709"/>
        <w:jc w:val="both"/>
        <w:rPr>
          <w:sz w:val="22"/>
          <w:szCs w:val="22"/>
          <w:lang w:val="uk-UA"/>
        </w:rPr>
      </w:pPr>
      <w:r w:rsidRPr="009A5B6D">
        <w:rPr>
          <w:sz w:val="22"/>
          <w:szCs w:val="22"/>
          <w:lang w:val="uk-UA"/>
        </w:rPr>
        <w:t xml:space="preserve">Наразі в Україні розробляється </w:t>
      </w:r>
      <w:r w:rsidRPr="009A5B6D">
        <w:rPr>
          <w:sz w:val="22"/>
          <w:szCs w:val="22"/>
          <w:shd w:val="clear" w:color="auto" w:fill="FFFFFF"/>
          <w:lang w:val="uk-UA"/>
        </w:rPr>
        <w:t xml:space="preserve">Національний план дій з відновлюваної енергетики на період до 2030 року. </w:t>
      </w:r>
      <w:r w:rsidR="004252B6" w:rsidRPr="009A5B6D">
        <w:rPr>
          <w:sz w:val="22"/>
          <w:szCs w:val="22"/>
          <w:shd w:val="clear" w:color="auto" w:fill="FFFFFF"/>
          <w:lang w:val="uk-UA"/>
        </w:rPr>
        <w:t xml:space="preserve">В новому НПДВЕ будуть зазначені цілі для </w:t>
      </w:r>
      <w:r w:rsidR="00FD2B5E" w:rsidRPr="009A5B6D">
        <w:rPr>
          <w:sz w:val="22"/>
          <w:szCs w:val="22"/>
          <w:shd w:val="clear" w:color="auto" w:fill="FFFFFF"/>
          <w:lang w:val="uk-UA"/>
        </w:rPr>
        <w:t xml:space="preserve">розвитку </w:t>
      </w:r>
      <w:r w:rsidR="004252B6" w:rsidRPr="009A5B6D">
        <w:rPr>
          <w:sz w:val="22"/>
          <w:szCs w:val="22"/>
          <w:shd w:val="clear" w:color="auto" w:fill="FFFFFF"/>
          <w:lang w:val="uk-UA"/>
        </w:rPr>
        <w:t>сектору транспорту до 2030</w:t>
      </w:r>
      <w:r w:rsidR="00B36516" w:rsidRPr="009A5B6D">
        <w:rPr>
          <w:sz w:val="22"/>
          <w:szCs w:val="22"/>
          <w:shd w:val="clear" w:color="auto" w:fill="FFFFFF"/>
          <w:lang w:val="uk-UA"/>
        </w:rPr>
        <w:t xml:space="preserve"> </w:t>
      </w:r>
      <w:r w:rsidR="004252B6" w:rsidRPr="009A5B6D">
        <w:rPr>
          <w:sz w:val="22"/>
          <w:szCs w:val="22"/>
          <w:shd w:val="clear" w:color="auto" w:fill="FFFFFF"/>
          <w:lang w:val="uk-UA"/>
        </w:rPr>
        <w:t>р. з урахуванням положень чинних стратегічних документів України</w:t>
      </w:r>
      <w:r w:rsidR="00FD2B5E" w:rsidRPr="009A5B6D">
        <w:rPr>
          <w:sz w:val="22"/>
          <w:szCs w:val="22"/>
          <w:shd w:val="clear" w:color="auto" w:fill="FFFFFF"/>
          <w:lang w:val="uk-UA"/>
        </w:rPr>
        <w:t>, релевантних директив ЄС, а також реальних можливостей транспортного сектору країни.</w:t>
      </w:r>
    </w:p>
    <w:p w14:paraId="4F1157DF" w14:textId="244ADF22" w:rsidR="004E20AC" w:rsidRPr="009A5B6D" w:rsidRDefault="004E20AC" w:rsidP="00882689">
      <w:pPr>
        <w:pStyle w:val="1"/>
        <w:spacing w:before="0" w:after="0" w:line="276" w:lineRule="auto"/>
        <w:jc w:val="center"/>
        <w:rPr>
          <w:rFonts w:ascii="Times New Roman" w:hAnsi="Times New Roman"/>
          <w:i/>
          <w:sz w:val="22"/>
          <w:szCs w:val="22"/>
          <w:lang w:val="uk-UA" w:eastAsia="en-US"/>
        </w:rPr>
      </w:pPr>
      <w:bookmarkStart w:id="3" w:name="_Toc217382448"/>
      <w:r w:rsidRPr="009A5B6D">
        <w:rPr>
          <w:rFonts w:ascii="Times New Roman" w:hAnsi="Times New Roman"/>
          <w:i/>
          <w:sz w:val="22"/>
          <w:szCs w:val="22"/>
          <w:lang w:val="uk-UA" w:eastAsia="en-US"/>
        </w:rPr>
        <w:t>Висновки</w:t>
      </w:r>
      <w:r w:rsidR="00DD0E1D" w:rsidRPr="009A5B6D">
        <w:rPr>
          <w:rFonts w:ascii="Times New Roman" w:hAnsi="Times New Roman"/>
          <w:i/>
          <w:sz w:val="22"/>
          <w:szCs w:val="22"/>
          <w:lang w:val="uk-UA" w:eastAsia="en-US"/>
        </w:rPr>
        <w:t xml:space="preserve"> та рекомендації</w:t>
      </w:r>
    </w:p>
    <w:p w14:paraId="6764F760" w14:textId="29B3C1AD" w:rsidR="007D5790" w:rsidRDefault="005238D1" w:rsidP="00882689">
      <w:pPr>
        <w:widowControl w:val="0"/>
        <w:spacing w:line="276" w:lineRule="auto"/>
        <w:ind w:firstLine="709"/>
        <w:jc w:val="both"/>
        <w:rPr>
          <w:sz w:val="22"/>
          <w:szCs w:val="22"/>
          <w:lang w:val="uk-UA"/>
        </w:rPr>
      </w:pPr>
      <w:r w:rsidRPr="009A5B6D">
        <w:rPr>
          <w:sz w:val="22"/>
          <w:szCs w:val="22"/>
          <w:lang w:val="uk-UA"/>
        </w:rPr>
        <w:t xml:space="preserve">Україна має значний потенціал біомаси для виробництва рідких та газоподібних моторних біопалив і загалом гарні передумови для впровадження відновлюваної енергії на транспорті. Для ефективного залучення ВДЕ у сектор транспорту рекомендується проведення послідовної політики </w:t>
      </w:r>
      <w:r w:rsidR="00B36516" w:rsidRPr="009A5B6D">
        <w:rPr>
          <w:sz w:val="22"/>
          <w:szCs w:val="22"/>
          <w:lang w:val="uk-UA"/>
        </w:rPr>
        <w:t>стимулювання</w:t>
      </w:r>
      <w:r w:rsidRPr="009A5B6D">
        <w:rPr>
          <w:sz w:val="22"/>
          <w:szCs w:val="22"/>
          <w:lang w:val="uk-UA"/>
        </w:rPr>
        <w:t xml:space="preserve"> цього сектору з урахуванням прикладу ЄС та окремих країн-членів, таких як Швеція. </w:t>
      </w:r>
      <w:r w:rsidR="00A046A0" w:rsidRPr="009A5B6D">
        <w:rPr>
          <w:sz w:val="22"/>
          <w:szCs w:val="22"/>
          <w:lang w:val="uk-UA"/>
        </w:rPr>
        <w:t xml:space="preserve">Найближчим кроком має бути прийняття проєкту Закону України “Про внесення змін до деяких законодавчих актів України щодо обов’язковості використання рідкого біопалива (біокомпонентів) у галузі транспорту” (№ 3356-д від 05.11.2020). </w:t>
      </w:r>
      <w:r w:rsidR="00FA5CCF" w:rsidRPr="009A5B6D">
        <w:rPr>
          <w:sz w:val="22"/>
          <w:szCs w:val="22"/>
          <w:lang w:val="uk-UA"/>
        </w:rPr>
        <w:t>Це сприятиме збільшенню обсягів споживання рідкого моторного біопалива з дотриманням критеріїв сталості.</w:t>
      </w:r>
      <w:r w:rsidR="000D5E16" w:rsidRPr="009A5B6D">
        <w:rPr>
          <w:sz w:val="22"/>
          <w:szCs w:val="22"/>
          <w:lang w:val="uk-UA"/>
        </w:rPr>
        <w:t xml:space="preserve"> Є сенс переглянути існуючий великий акциз на біодизель та податковий вексель на повну ставку акцизу, необхідний при транспортуванні біоетанолу. </w:t>
      </w:r>
      <w:r w:rsidR="006F3999" w:rsidRPr="009A5B6D">
        <w:rPr>
          <w:sz w:val="22"/>
          <w:szCs w:val="22"/>
          <w:lang w:val="uk-UA"/>
        </w:rPr>
        <w:t xml:space="preserve">Враховуючи вимоги сталості до біопалив </w:t>
      </w:r>
      <w:r w:rsidR="00227C53" w:rsidRPr="009A5B6D">
        <w:rPr>
          <w:sz w:val="22"/>
          <w:szCs w:val="22"/>
          <w:lang w:val="uk-UA"/>
        </w:rPr>
        <w:t xml:space="preserve">європейської </w:t>
      </w:r>
      <w:r w:rsidR="006F3999" w:rsidRPr="009A5B6D">
        <w:rPr>
          <w:sz w:val="22"/>
          <w:szCs w:val="22"/>
          <w:lang w:val="uk-UA"/>
        </w:rPr>
        <w:t xml:space="preserve">Директиви </w:t>
      </w:r>
      <w:r w:rsidR="006F3999" w:rsidRPr="009A5B6D">
        <w:rPr>
          <w:sz w:val="22"/>
          <w:szCs w:val="22"/>
          <w:lang w:val="en-US"/>
        </w:rPr>
        <w:t>RED</w:t>
      </w:r>
      <w:r w:rsidR="006F3999" w:rsidRPr="009A5B6D">
        <w:rPr>
          <w:sz w:val="22"/>
          <w:szCs w:val="22"/>
          <w:lang w:val="uk-UA"/>
        </w:rPr>
        <w:t xml:space="preserve"> </w:t>
      </w:r>
      <w:r w:rsidR="006F3999" w:rsidRPr="009A5B6D">
        <w:rPr>
          <w:sz w:val="22"/>
          <w:szCs w:val="22"/>
          <w:lang w:val="en-US"/>
        </w:rPr>
        <w:t>II</w:t>
      </w:r>
      <w:r w:rsidR="006F3999" w:rsidRPr="009A5B6D">
        <w:rPr>
          <w:sz w:val="22"/>
          <w:szCs w:val="22"/>
          <w:lang w:val="uk-UA"/>
        </w:rPr>
        <w:t xml:space="preserve">, яка в майбутньому може стати обов’язковою для виконання в Україні, є сенс </w:t>
      </w:r>
      <w:r w:rsidR="00227C53" w:rsidRPr="009A5B6D">
        <w:rPr>
          <w:sz w:val="22"/>
          <w:szCs w:val="22"/>
          <w:lang w:val="uk-UA"/>
        </w:rPr>
        <w:t xml:space="preserve">активно </w:t>
      </w:r>
      <w:r w:rsidR="006F3999" w:rsidRPr="009A5B6D">
        <w:rPr>
          <w:sz w:val="22"/>
          <w:szCs w:val="22"/>
          <w:lang w:val="uk-UA"/>
        </w:rPr>
        <w:t>досліджувати можливості і запроваджувати підтримку виробництва біопалив другого покоління</w:t>
      </w:r>
      <w:r w:rsidR="00B247E5" w:rsidRPr="009A5B6D">
        <w:rPr>
          <w:sz w:val="22"/>
          <w:szCs w:val="22"/>
          <w:lang w:val="uk-UA"/>
        </w:rPr>
        <w:t xml:space="preserve"> в Україні</w:t>
      </w:r>
      <w:r w:rsidR="006F3999" w:rsidRPr="009A5B6D">
        <w:rPr>
          <w:sz w:val="22"/>
          <w:szCs w:val="22"/>
          <w:lang w:val="uk-UA"/>
        </w:rPr>
        <w:t>.</w:t>
      </w:r>
    </w:p>
    <w:p w14:paraId="7019C723" w14:textId="77777777" w:rsidR="00FA4679" w:rsidRPr="006F3999" w:rsidRDefault="00FA4679" w:rsidP="00882689">
      <w:pPr>
        <w:widowControl w:val="0"/>
        <w:spacing w:line="276" w:lineRule="auto"/>
        <w:ind w:firstLine="709"/>
        <w:jc w:val="both"/>
        <w:rPr>
          <w:sz w:val="22"/>
          <w:szCs w:val="22"/>
          <w:lang w:val="uk-UA"/>
        </w:rPr>
      </w:pPr>
    </w:p>
    <w:p w14:paraId="055022B6" w14:textId="77777777" w:rsidR="00621630" w:rsidRPr="006D2CF9" w:rsidRDefault="008465FE" w:rsidP="005A4D39">
      <w:pPr>
        <w:spacing w:line="360" w:lineRule="auto"/>
        <w:jc w:val="center"/>
        <w:rPr>
          <w:sz w:val="22"/>
          <w:szCs w:val="22"/>
          <w:lang w:val="uk-UA"/>
        </w:rPr>
      </w:pPr>
      <w:r w:rsidRPr="006D2CF9">
        <w:rPr>
          <w:sz w:val="22"/>
          <w:szCs w:val="22"/>
          <w:lang w:val="uk-UA"/>
        </w:rPr>
        <w:t>Л</w:t>
      </w:r>
      <w:r w:rsidR="002A5A96" w:rsidRPr="006D2CF9">
        <w:rPr>
          <w:sz w:val="22"/>
          <w:szCs w:val="22"/>
          <w:lang w:val="uk-UA"/>
        </w:rPr>
        <w:t>І</w:t>
      </w:r>
      <w:r w:rsidR="00621630" w:rsidRPr="006D2CF9">
        <w:rPr>
          <w:sz w:val="22"/>
          <w:szCs w:val="22"/>
          <w:lang w:val="uk-UA"/>
        </w:rPr>
        <w:t>ТЕРАТУРА</w:t>
      </w:r>
    </w:p>
    <w:p w14:paraId="6EB497ED" w14:textId="77777777" w:rsidR="00E36592" w:rsidRPr="00E36592" w:rsidRDefault="00A64A45" w:rsidP="0074607B">
      <w:pPr>
        <w:tabs>
          <w:tab w:val="left" w:pos="426"/>
        </w:tabs>
        <w:spacing w:line="360" w:lineRule="auto"/>
        <w:ind w:left="426" w:hanging="426"/>
        <w:jc w:val="both"/>
        <w:rPr>
          <w:color w:val="323232"/>
          <w:lang w:val="en-US"/>
        </w:rPr>
      </w:pPr>
      <w:r w:rsidRPr="00E36592">
        <w:rPr>
          <w:bCs/>
          <w:lang w:val="en-GB" w:eastAsia="en-US"/>
        </w:rPr>
        <w:t xml:space="preserve">1. </w:t>
      </w:r>
      <w:r w:rsidRPr="00E36592">
        <w:rPr>
          <w:bCs/>
          <w:lang w:val="en-GB" w:eastAsia="en-US"/>
        </w:rPr>
        <w:tab/>
      </w:r>
      <w:r w:rsidR="00E36592" w:rsidRPr="00E36592">
        <w:rPr>
          <w:i/>
          <w:lang w:val="en-US"/>
        </w:rPr>
        <w:t>The European Green Deal</w:t>
      </w:r>
      <w:r w:rsidR="00E36592" w:rsidRPr="00E36592">
        <w:rPr>
          <w:lang w:val="en-US"/>
        </w:rPr>
        <w:t>. Communication from the Commission, COM(2019) 640 final, 2019</w:t>
      </w:r>
      <w:r w:rsidR="00EE59B4" w:rsidRPr="00E36592">
        <w:rPr>
          <w:color w:val="323232"/>
          <w:lang w:val="en-US"/>
        </w:rPr>
        <w:t>.</w:t>
      </w:r>
      <w:r w:rsidR="0074607B" w:rsidRPr="00E36592">
        <w:rPr>
          <w:color w:val="323232"/>
          <w:lang w:val="en-US"/>
        </w:rPr>
        <w:t xml:space="preserve"> </w:t>
      </w:r>
    </w:p>
    <w:p w14:paraId="1947EF8B" w14:textId="0CBEF324" w:rsidR="00A64A45" w:rsidRPr="00315EB4" w:rsidRDefault="00E36592" w:rsidP="0074607B">
      <w:pPr>
        <w:tabs>
          <w:tab w:val="left" w:pos="426"/>
        </w:tabs>
        <w:spacing w:line="360" w:lineRule="auto"/>
        <w:ind w:left="426" w:hanging="426"/>
        <w:jc w:val="both"/>
        <w:rPr>
          <w:highlight w:val="yellow"/>
          <w:lang w:val="en-US"/>
        </w:rPr>
      </w:pPr>
      <w:r>
        <w:rPr>
          <w:lang w:val="en-US"/>
        </w:rPr>
        <w:tab/>
      </w:r>
      <w:hyperlink r:id="rId12" w:history="1">
        <w:r w:rsidRPr="00AB362B">
          <w:rPr>
            <w:rStyle w:val="ac"/>
            <w:lang w:val="en-US"/>
          </w:rPr>
          <w:t>https://eur-lex.europa.eu/legal-content/EN/TXT/?uri=CELEX%3A52019DC0640&amp;qid=1603445111690</w:t>
        </w:r>
      </w:hyperlink>
    </w:p>
    <w:p w14:paraId="77BD5A85" w14:textId="0B0C1144" w:rsidR="00B145C8" w:rsidRPr="00C00BFF" w:rsidRDefault="00A64A45" w:rsidP="00513421">
      <w:pPr>
        <w:tabs>
          <w:tab w:val="left" w:pos="426"/>
        </w:tabs>
        <w:spacing w:line="360" w:lineRule="auto"/>
        <w:ind w:left="426" w:hanging="426"/>
        <w:jc w:val="both"/>
        <w:rPr>
          <w:bCs/>
          <w:lang w:val="uk-UA" w:eastAsia="en-US"/>
        </w:rPr>
      </w:pPr>
      <w:r w:rsidRPr="00D626E4">
        <w:rPr>
          <w:bCs/>
          <w:lang w:val="uk-UA" w:eastAsia="en-US"/>
        </w:rPr>
        <w:t>2</w:t>
      </w:r>
      <w:r w:rsidR="00513421" w:rsidRPr="00D626E4">
        <w:rPr>
          <w:bCs/>
          <w:lang w:val="en-GB" w:eastAsia="en-US"/>
        </w:rPr>
        <w:t xml:space="preserve">. </w:t>
      </w:r>
      <w:r w:rsidR="00513421" w:rsidRPr="00D626E4">
        <w:rPr>
          <w:bCs/>
          <w:lang w:val="en-GB" w:eastAsia="en-US"/>
        </w:rPr>
        <w:tab/>
      </w:r>
      <w:r w:rsidR="00D626E4" w:rsidRPr="00DD26F3">
        <w:rPr>
          <w:i/>
          <w:lang w:val="en-GB"/>
        </w:rPr>
        <w:t>Directive 2009/28/EС</w:t>
      </w:r>
      <w:r w:rsidR="00D626E4" w:rsidRPr="00D626E4">
        <w:rPr>
          <w:lang w:val="en-GB"/>
        </w:rPr>
        <w:t xml:space="preserve"> of the European Parliament and of the Council of 23 April 2009 on the promotion of the use of energy from renewable sources, 2009. Date of end of validity: 30/06/2021.</w:t>
      </w:r>
      <w:r w:rsidR="00C00BFF">
        <w:rPr>
          <w:lang w:val="uk-UA"/>
        </w:rPr>
        <w:t xml:space="preserve"> </w:t>
      </w:r>
    </w:p>
    <w:p w14:paraId="364694E8" w14:textId="692969DE" w:rsidR="00513421" w:rsidRPr="00315EB4" w:rsidRDefault="00C3754C" w:rsidP="00B145C8">
      <w:pPr>
        <w:tabs>
          <w:tab w:val="left" w:pos="426"/>
        </w:tabs>
        <w:spacing w:line="360" w:lineRule="auto"/>
        <w:ind w:left="426"/>
        <w:jc w:val="both"/>
        <w:rPr>
          <w:highlight w:val="yellow"/>
          <w:lang w:val="en-US"/>
        </w:rPr>
      </w:pPr>
      <w:hyperlink r:id="rId13" w:history="1">
        <w:r w:rsidR="00D626E4" w:rsidRPr="00AB362B">
          <w:rPr>
            <w:rStyle w:val="ac"/>
            <w:lang w:val="en-US"/>
          </w:rPr>
          <w:t>https://eur-lex.europa.eu/eli/dir/2009/28/oj</w:t>
        </w:r>
      </w:hyperlink>
    </w:p>
    <w:p w14:paraId="4CCB5409" w14:textId="5F16DC3E" w:rsidR="00A8423F" w:rsidRPr="00C00BFF" w:rsidRDefault="00A8423F" w:rsidP="00A8423F">
      <w:pPr>
        <w:tabs>
          <w:tab w:val="left" w:pos="426"/>
        </w:tabs>
        <w:spacing w:line="360" w:lineRule="auto"/>
        <w:ind w:left="426" w:hanging="426"/>
        <w:jc w:val="both"/>
        <w:rPr>
          <w:lang w:val="uk-UA"/>
        </w:rPr>
      </w:pPr>
      <w:r w:rsidRPr="004E618F">
        <w:rPr>
          <w:bCs/>
          <w:lang w:val="uk-UA" w:eastAsia="en-US"/>
        </w:rPr>
        <w:t>3</w:t>
      </w:r>
      <w:r w:rsidRPr="004E618F">
        <w:rPr>
          <w:bCs/>
          <w:lang w:val="en-GB" w:eastAsia="en-US"/>
        </w:rPr>
        <w:t xml:space="preserve">. </w:t>
      </w:r>
      <w:r w:rsidRPr="004E618F">
        <w:rPr>
          <w:bCs/>
          <w:lang w:val="en-GB" w:eastAsia="en-US"/>
        </w:rPr>
        <w:tab/>
      </w:r>
      <w:r w:rsidR="004E618F" w:rsidRPr="004E618F">
        <w:rPr>
          <w:i/>
          <w:lang w:val="en-US"/>
        </w:rPr>
        <w:t>Directive (EU) 2018/2001</w:t>
      </w:r>
      <w:r w:rsidR="004E618F" w:rsidRPr="004E618F">
        <w:rPr>
          <w:lang w:val="en-US"/>
        </w:rPr>
        <w:t xml:space="preserve"> of the European Parliament and of the Council of 11 December 2018 on the promotion of the use of energy from renewable sources (recast)</w:t>
      </w:r>
      <w:r w:rsidR="008A41D8" w:rsidRPr="004E618F">
        <w:rPr>
          <w:lang w:val="en-US"/>
        </w:rPr>
        <w:t>, 2018.</w:t>
      </w:r>
      <w:r w:rsidR="00C00BFF">
        <w:rPr>
          <w:lang w:val="uk-UA"/>
        </w:rPr>
        <w:t xml:space="preserve"> </w:t>
      </w:r>
    </w:p>
    <w:p w14:paraId="55EDEC9D" w14:textId="7E25A356" w:rsidR="003F0106" w:rsidRPr="003F0106" w:rsidRDefault="00BA0614" w:rsidP="003F0106">
      <w:pPr>
        <w:tabs>
          <w:tab w:val="left" w:pos="426"/>
          <w:tab w:val="left" w:pos="5188"/>
        </w:tabs>
        <w:spacing w:line="360" w:lineRule="auto"/>
        <w:ind w:left="426" w:hanging="426"/>
        <w:jc w:val="both"/>
        <w:rPr>
          <w:lang w:val="uk-UA"/>
        </w:rPr>
      </w:pPr>
      <w:r w:rsidRPr="003F0106">
        <w:rPr>
          <w:lang w:val="uk-UA"/>
        </w:rPr>
        <w:tab/>
      </w:r>
      <w:hyperlink r:id="rId14" w:history="1">
        <w:r w:rsidR="003F0106" w:rsidRPr="003F0106">
          <w:rPr>
            <w:rStyle w:val="ac"/>
          </w:rPr>
          <w:t>https</w:t>
        </w:r>
        <w:r w:rsidR="003F0106" w:rsidRPr="003F0106">
          <w:rPr>
            <w:rStyle w:val="ac"/>
            <w:lang w:val="uk-UA"/>
          </w:rPr>
          <w:t>://</w:t>
        </w:r>
        <w:r w:rsidR="003F0106" w:rsidRPr="003F0106">
          <w:rPr>
            <w:rStyle w:val="ac"/>
          </w:rPr>
          <w:t>eur</w:t>
        </w:r>
        <w:r w:rsidR="003F0106" w:rsidRPr="003F0106">
          <w:rPr>
            <w:rStyle w:val="ac"/>
            <w:lang w:val="uk-UA"/>
          </w:rPr>
          <w:t>-</w:t>
        </w:r>
        <w:r w:rsidR="003F0106" w:rsidRPr="003F0106">
          <w:rPr>
            <w:rStyle w:val="ac"/>
          </w:rPr>
          <w:t>lex</w:t>
        </w:r>
        <w:r w:rsidR="003F0106" w:rsidRPr="003F0106">
          <w:rPr>
            <w:rStyle w:val="ac"/>
            <w:lang w:val="uk-UA"/>
          </w:rPr>
          <w:t>.</w:t>
        </w:r>
        <w:r w:rsidR="003F0106" w:rsidRPr="003F0106">
          <w:rPr>
            <w:rStyle w:val="ac"/>
          </w:rPr>
          <w:t>europa</w:t>
        </w:r>
        <w:r w:rsidR="003F0106" w:rsidRPr="003F0106">
          <w:rPr>
            <w:rStyle w:val="ac"/>
            <w:lang w:val="uk-UA"/>
          </w:rPr>
          <w:t>.</w:t>
        </w:r>
        <w:r w:rsidR="003F0106" w:rsidRPr="003F0106">
          <w:rPr>
            <w:rStyle w:val="ac"/>
          </w:rPr>
          <w:t>eu</w:t>
        </w:r>
        <w:r w:rsidR="003F0106" w:rsidRPr="003F0106">
          <w:rPr>
            <w:rStyle w:val="ac"/>
            <w:lang w:val="uk-UA"/>
          </w:rPr>
          <w:t>/</w:t>
        </w:r>
        <w:r w:rsidR="003F0106" w:rsidRPr="003F0106">
          <w:rPr>
            <w:rStyle w:val="ac"/>
          </w:rPr>
          <w:t>eli</w:t>
        </w:r>
        <w:r w:rsidR="003F0106" w:rsidRPr="003F0106">
          <w:rPr>
            <w:rStyle w:val="ac"/>
            <w:lang w:val="uk-UA"/>
          </w:rPr>
          <w:t>/</w:t>
        </w:r>
        <w:r w:rsidR="003F0106" w:rsidRPr="003F0106">
          <w:rPr>
            <w:rStyle w:val="ac"/>
          </w:rPr>
          <w:t>dir</w:t>
        </w:r>
        <w:r w:rsidR="003F0106" w:rsidRPr="003F0106">
          <w:rPr>
            <w:rStyle w:val="ac"/>
            <w:lang w:val="uk-UA"/>
          </w:rPr>
          <w:t>/2018/2001/2018-12-21</w:t>
        </w:r>
      </w:hyperlink>
    </w:p>
    <w:p w14:paraId="22CFBB31" w14:textId="62011887" w:rsidR="0000150D" w:rsidRPr="00C00BFF" w:rsidRDefault="00FB7E26" w:rsidP="0000150D">
      <w:pPr>
        <w:tabs>
          <w:tab w:val="left" w:pos="426"/>
        </w:tabs>
        <w:spacing w:line="360" w:lineRule="auto"/>
        <w:ind w:left="426" w:hanging="426"/>
        <w:jc w:val="both"/>
        <w:rPr>
          <w:lang w:val="uk-UA"/>
        </w:rPr>
      </w:pPr>
      <w:r w:rsidRPr="001E3AE5">
        <w:rPr>
          <w:lang w:val="en-US"/>
        </w:rPr>
        <w:t xml:space="preserve">4. </w:t>
      </w:r>
      <w:r w:rsidRPr="001E3AE5">
        <w:rPr>
          <w:lang w:val="en-US"/>
        </w:rPr>
        <w:tab/>
      </w:r>
      <w:r w:rsidR="001E3AE5" w:rsidRPr="001E3AE5">
        <w:rPr>
          <w:i/>
          <w:lang w:val="en-US"/>
        </w:rPr>
        <w:t>Biofuels</w:t>
      </w:r>
      <w:r w:rsidR="001E3AE5" w:rsidRPr="001E3AE5">
        <w:rPr>
          <w:lang w:val="uk-UA"/>
        </w:rPr>
        <w:t>.</w:t>
      </w:r>
      <w:r w:rsidR="001E3AE5" w:rsidRPr="001E3AE5">
        <w:rPr>
          <w:lang w:val="en-US"/>
        </w:rPr>
        <w:t xml:space="preserve"> </w:t>
      </w:r>
      <w:r w:rsidR="00126238" w:rsidRPr="001E3AE5">
        <w:rPr>
          <w:lang w:val="en-US"/>
        </w:rPr>
        <w:t>Bioenergy Europe Statistical Report, 2020.</w:t>
      </w:r>
      <w:r w:rsidR="00C00BFF">
        <w:rPr>
          <w:lang w:val="uk-UA"/>
        </w:rPr>
        <w:t xml:space="preserve"> </w:t>
      </w:r>
    </w:p>
    <w:p w14:paraId="525D5E92" w14:textId="0329678C" w:rsidR="00126238" w:rsidRPr="00460E34" w:rsidRDefault="00C3754C" w:rsidP="00FB7E26">
      <w:pPr>
        <w:tabs>
          <w:tab w:val="left" w:pos="426"/>
        </w:tabs>
        <w:spacing w:line="360" w:lineRule="auto"/>
        <w:ind w:left="426"/>
        <w:jc w:val="both"/>
        <w:rPr>
          <w:highlight w:val="yellow"/>
          <w:lang w:val="uk-UA"/>
        </w:rPr>
      </w:pPr>
      <w:hyperlink r:id="rId15" w:history="1">
        <w:r w:rsidR="00126238" w:rsidRPr="001E3AE5">
          <w:rPr>
            <w:rStyle w:val="ac"/>
            <w:lang w:val="en-US"/>
          </w:rPr>
          <w:t>https</w:t>
        </w:r>
        <w:r w:rsidR="00126238" w:rsidRPr="00460E34">
          <w:rPr>
            <w:rStyle w:val="ac"/>
            <w:lang w:val="uk-UA"/>
          </w:rPr>
          <w:t>://</w:t>
        </w:r>
        <w:r w:rsidR="00126238" w:rsidRPr="001E3AE5">
          <w:rPr>
            <w:rStyle w:val="ac"/>
            <w:lang w:val="en-US"/>
          </w:rPr>
          <w:t>bioenergyeurope</w:t>
        </w:r>
        <w:r w:rsidR="00126238" w:rsidRPr="00460E34">
          <w:rPr>
            <w:rStyle w:val="ac"/>
            <w:lang w:val="uk-UA"/>
          </w:rPr>
          <w:t>.</w:t>
        </w:r>
        <w:r w:rsidR="00126238" w:rsidRPr="001E3AE5">
          <w:rPr>
            <w:rStyle w:val="ac"/>
            <w:lang w:val="en-US"/>
          </w:rPr>
          <w:t>org</w:t>
        </w:r>
        <w:r w:rsidR="00126238" w:rsidRPr="00460E34">
          <w:rPr>
            <w:rStyle w:val="ac"/>
            <w:lang w:val="uk-UA"/>
          </w:rPr>
          <w:t>/29-</w:t>
        </w:r>
        <w:r w:rsidR="00126238" w:rsidRPr="001E3AE5">
          <w:rPr>
            <w:rStyle w:val="ac"/>
            <w:lang w:val="en-US"/>
          </w:rPr>
          <w:t>statistical</w:t>
        </w:r>
        <w:r w:rsidR="00126238" w:rsidRPr="00460E34">
          <w:rPr>
            <w:rStyle w:val="ac"/>
            <w:lang w:val="uk-UA"/>
          </w:rPr>
          <w:t>-</w:t>
        </w:r>
        <w:r w:rsidR="00126238" w:rsidRPr="001E3AE5">
          <w:rPr>
            <w:rStyle w:val="ac"/>
            <w:lang w:val="en-US"/>
          </w:rPr>
          <w:t>reports</w:t>
        </w:r>
        <w:r w:rsidR="00126238" w:rsidRPr="00460E34">
          <w:rPr>
            <w:rStyle w:val="ac"/>
            <w:lang w:val="uk-UA"/>
          </w:rPr>
          <w:t>/252-</w:t>
        </w:r>
        <w:r w:rsidR="00126238" w:rsidRPr="001E3AE5">
          <w:rPr>
            <w:rStyle w:val="ac"/>
            <w:lang w:val="en-US"/>
          </w:rPr>
          <w:t>biofuels</w:t>
        </w:r>
        <w:r w:rsidR="00126238" w:rsidRPr="00460E34">
          <w:rPr>
            <w:rStyle w:val="ac"/>
            <w:lang w:val="uk-UA"/>
          </w:rPr>
          <w:t>-</w:t>
        </w:r>
        <w:r w:rsidR="00126238" w:rsidRPr="001E3AE5">
          <w:rPr>
            <w:rStyle w:val="ac"/>
            <w:lang w:val="en-US"/>
          </w:rPr>
          <w:t>for</w:t>
        </w:r>
        <w:r w:rsidR="00126238" w:rsidRPr="00460E34">
          <w:rPr>
            <w:rStyle w:val="ac"/>
            <w:lang w:val="uk-UA"/>
          </w:rPr>
          <w:t>-</w:t>
        </w:r>
        <w:r w:rsidR="00126238" w:rsidRPr="001E3AE5">
          <w:rPr>
            <w:rStyle w:val="ac"/>
            <w:lang w:val="en-US"/>
          </w:rPr>
          <w:t>transport</w:t>
        </w:r>
        <w:r w:rsidR="00126238" w:rsidRPr="00460E34">
          <w:rPr>
            <w:rStyle w:val="ac"/>
            <w:lang w:val="uk-UA"/>
          </w:rPr>
          <w:t>.</w:t>
        </w:r>
        <w:r w:rsidR="00126238" w:rsidRPr="001E3AE5">
          <w:rPr>
            <w:rStyle w:val="ac"/>
            <w:lang w:val="en-US"/>
          </w:rPr>
          <w:t>html</w:t>
        </w:r>
      </w:hyperlink>
    </w:p>
    <w:p w14:paraId="7110C50A" w14:textId="1C120595" w:rsidR="001E3AE5" w:rsidRPr="00C00BFF" w:rsidRDefault="001E3AE5" w:rsidP="001E3AE5">
      <w:pPr>
        <w:tabs>
          <w:tab w:val="left" w:pos="426"/>
        </w:tabs>
        <w:spacing w:line="360" w:lineRule="auto"/>
        <w:ind w:left="426" w:hanging="426"/>
        <w:jc w:val="both"/>
        <w:rPr>
          <w:lang w:val="uk-UA"/>
        </w:rPr>
      </w:pPr>
      <w:r w:rsidRPr="001E3AE5">
        <w:rPr>
          <w:lang w:val="uk-UA"/>
        </w:rPr>
        <w:t>5</w:t>
      </w:r>
      <w:r w:rsidRPr="001E3AE5">
        <w:rPr>
          <w:lang w:val="en-GB"/>
        </w:rPr>
        <w:t xml:space="preserve">. </w:t>
      </w:r>
      <w:r w:rsidRPr="001E3AE5">
        <w:rPr>
          <w:lang w:val="en-GB"/>
        </w:rPr>
        <w:tab/>
      </w:r>
      <w:r w:rsidRPr="00644F26">
        <w:rPr>
          <w:i/>
          <w:lang w:val="en-US"/>
        </w:rPr>
        <w:t>Policy Brief</w:t>
      </w:r>
      <w:r w:rsidRPr="001E3AE5">
        <w:rPr>
          <w:lang w:val="en-US"/>
        </w:rPr>
        <w:t>: Biofuels for transport</w:t>
      </w:r>
      <w:r w:rsidRPr="001E3AE5">
        <w:rPr>
          <w:lang w:val="uk-UA"/>
        </w:rPr>
        <w:t>.</w:t>
      </w:r>
      <w:r w:rsidRPr="001E3AE5">
        <w:rPr>
          <w:lang w:val="en-US"/>
        </w:rPr>
        <w:t xml:space="preserve"> Bioenergy Europe Statistical Report, 2020</w:t>
      </w:r>
      <w:r w:rsidRPr="001E3AE5">
        <w:rPr>
          <w:lang w:val="en-GB"/>
        </w:rPr>
        <w:t>.</w:t>
      </w:r>
      <w:r w:rsidR="00C00BFF">
        <w:rPr>
          <w:lang w:val="uk-UA"/>
        </w:rPr>
        <w:t xml:space="preserve"> </w:t>
      </w:r>
    </w:p>
    <w:p w14:paraId="639CD013" w14:textId="0DF07084" w:rsidR="00644F26" w:rsidRDefault="00644F26" w:rsidP="00B662A0">
      <w:pPr>
        <w:tabs>
          <w:tab w:val="left" w:pos="426"/>
        </w:tabs>
        <w:spacing w:line="360" w:lineRule="auto"/>
        <w:ind w:left="426" w:hanging="426"/>
        <w:jc w:val="both"/>
        <w:rPr>
          <w:lang w:val="en-GB"/>
        </w:rPr>
      </w:pPr>
      <w:r>
        <w:rPr>
          <w:lang w:val="en-GB"/>
        </w:rPr>
        <w:tab/>
      </w:r>
      <w:hyperlink r:id="rId16" w:history="1">
        <w:r w:rsidRPr="00E7713C">
          <w:rPr>
            <w:rStyle w:val="ac"/>
            <w:lang w:val="en-GB"/>
          </w:rPr>
          <w:t>https://bioenergyeurope.org/29-statistical-reports/252-biofuels-for-transport.html</w:t>
        </w:r>
      </w:hyperlink>
    </w:p>
    <w:p w14:paraId="0EDF48C5" w14:textId="2112B6DA" w:rsidR="00981381" w:rsidRPr="00981381" w:rsidRDefault="00981381" w:rsidP="00B662A0">
      <w:pPr>
        <w:tabs>
          <w:tab w:val="left" w:pos="426"/>
        </w:tabs>
        <w:spacing w:line="360" w:lineRule="auto"/>
        <w:ind w:left="426" w:hanging="426"/>
        <w:jc w:val="both"/>
        <w:rPr>
          <w:lang w:val="en-US"/>
        </w:rPr>
      </w:pPr>
      <w:r w:rsidRPr="00981381">
        <w:rPr>
          <w:lang w:val="en-GB"/>
        </w:rPr>
        <w:t xml:space="preserve">6. </w:t>
      </w:r>
      <w:r w:rsidRPr="00981381">
        <w:rPr>
          <w:lang w:val="en-GB"/>
        </w:rPr>
        <w:tab/>
        <w:t>EU Biofuels Annual Report 2019, USDA</w:t>
      </w:r>
      <w:r>
        <w:rPr>
          <w:lang w:val="en-GB"/>
        </w:rPr>
        <w:t xml:space="preserve">, 2019.  </w:t>
      </w:r>
      <w:hyperlink r:id="rId17" w:history="1">
        <w:r w:rsidRPr="00E7713C">
          <w:rPr>
            <w:rStyle w:val="ac"/>
            <w:lang w:val="en-US"/>
          </w:rPr>
          <w:t>https://bit.ly/3lbEjwm</w:t>
        </w:r>
      </w:hyperlink>
    </w:p>
    <w:p w14:paraId="383D3328" w14:textId="68FF0FE7" w:rsidR="005F5C26" w:rsidRPr="00C00BFF" w:rsidRDefault="005F5C26" w:rsidP="00B662A0">
      <w:pPr>
        <w:tabs>
          <w:tab w:val="left" w:pos="426"/>
        </w:tabs>
        <w:spacing w:line="360" w:lineRule="auto"/>
        <w:ind w:left="426" w:hanging="426"/>
        <w:jc w:val="both"/>
        <w:rPr>
          <w:lang w:val="uk-UA"/>
        </w:rPr>
      </w:pPr>
      <w:r>
        <w:rPr>
          <w:lang w:val="uk-UA"/>
        </w:rPr>
        <w:t xml:space="preserve">7. </w:t>
      </w:r>
      <w:r>
        <w:rPr>
          <w:lang w:val="uk-UA"/>
        </w:rPr>
        <w:tab/>
      </w:r>
      <w:r w:rsidRPr="006002C9">
        <w:rPr>
          <w:i/>
          <w:lang w:val="en-US"/>
        </w:rPr>
        <w:t>Renewables</w:t>
      </w:r>
      <w:r w:rsidRPr="005F5C26">
        <w:rPr>
          <w:lang w:val="en-US"/>
        </w:rPr>
        <w:t xml:space="preserve"> 2021</w:t>
      </w:r>
      <w:r>
        <w:rPr>
          <w:lang w:val="uk-UA"/>
        </w:rPr>
        <w:t>.</w:t>
      </w:r>
      <w:r w:rsidRPr="005F5C26">
        <w:rPr>
          <w:lang w:val="en-US"/>
        </w:rPr>
        <w:t xml:space="preserve"> Global Status Report. </w:t>
      </w:r>
      <w:r w:rsidR="00744D7C">
        <w:rPr>
          <w:lang w:val="en-US"/>
        </w:rPr>
        <w:t>REN21, 2021.</w:t>
      </w:r>
      <w:r w:rsidR="00C00BFF">
        <w:rPr>
          <w:lang w:val="uk-UA"/>
        </w:rPr>
        <w:t xml:space="preserve"> </w:t>
      </w:r>
    </w:p>
    <w:p w14:paraId="7BB2EEFE" w14:textId="1DDD7209" w:rsidR="005F5C26" w:rsidRDefault="005F5C26" w:rsidP="00B662A0">
      <w:pPr>
        <w:tabs>
          <w:tab w:val="left" w:pos="426"/>
        </w:tabs>
        <w:spacing w:line="360" w:lineRule="auto"/>
        <w:ind w:left="426" w:hanging="426"/>
        <w:jc w:val="both"/>
        <w:rPr>
          <w:lang w:val="uk-UA"/>
        </w:rPr>
      </w:pPr>
      <w:r>
        <w:rPr>
          <w:lang w:val="en-US"/>
        </w:rPr>
        <w:tab/>
      </w:r>
      <w:hyperlink r:id="rId18" w:history="1">
        <w:r w:rsidRPr="005F5C26">
          <w:rPr>
            <w:rStyle w:val="ac"/>
            <w:lang w:val="en-US"/>
          </w:rPr>
          <w:t>https://www.ren21.net/wp-content/uploads/2019/05/GSR2021_Full_Report.pdf</w:t>
        </w:r>
      </w:hyperlink>
    </w:p>
    <w:p w14:paraId="672D59A1" w14:textId="5BC04DC2" w:rsidR="00E10950" w:rsidRPr="007D2A87" w:rsidRDefault="005F5C26" w:rsidP="00B662A0">
      <w:pPr>
        <w:tabs>
          <w:tab w:val="left" w:pos="426"/>
        </w:tabs>
        <w:spacing w:line="360" w:lineRule="auto"/>
        <w:ind w:left="426" w:hanging="426"/>
        <w:jc w:val="both"/>
        <w:rPr>
          <w:lang w:val="en-GB"/>
        </w:rPr>
      </w:pPr>
      <w:r>
        <w:rPr>
          <w:lang w:val="uk-UA"/>
        </w:rPr>
        <w:t>8</w:t>
      </w:r>
      <w:r w:rsidR="00BF7234" w:rsidRPr="007D2A87">
        <w:rPr>
          <w:lang w:val="en-GB"/>
        </w:rPr>
        <w:t xml:space="preserve">. </w:t>
      </w:r>
      <w:r w:rsidR="00BF7234" w:rsidRPr="007D2A87">
        <w:rPr>
          <w:lang w:val="en-GB"/>
        </w:rPr>
        <w:tab/>
      </w:r>
      <w:r w:rsidR="007D2A87" w:rsidRPr="007D2A87">
        <w:rPr>
          <w:i/>
          <w:lang w:val="en-US"/>
        </w:rPr>
        <w:t>Sweden’s Integrated</w:t>
      </w:r>
      <w:r w:rsidR="007D2A87" w:rsidRPr="007D2A87">
        <w:rPr>
          <w:lang w:val="en-US"/>
        </w:rPr>
        <w:t xml:space="preserve"> National Energy and Climate Plan</w:t>
      </w:r>
      <w:r w:rsidR="00BF7234" w:rsidRPr="007D2A87">
        <w:rPr>
          <w:lang w:val="en-GB"/>
        </w:rPr>
        <w:t>, 2020.</w:t>
      </w:r>
    </w:p>
    <w:p w14:paraId="64285087" w14:textId="6A71E7EB" w:rsidR="007D2A87" w:rsidRPr="007D2A87" w:rsidRDefault="00BF7234" w:rsidP="007D2A87">
      <w:pPr>
        <w:tabs>
          <w:tab w:val="left" w:pos="426"/>
          <w:tab w:val="left" w:pos="7904"/>
        </w:tabs>
        <w:spacing w:line="360" w:lineRule="auto"/>
        <w:ind w:left="426" w:hanging="426"/>
        <w:jc w:val="both"/>
        <w:rPr>
          <w:lang w:val="en-GB"/>
        </w:rPr>
      </w:pPr>
      <w:r w:rsidRPr="007D2A87">
        <w:rPr>
          <w:lang w:val="en-GB"/>
        </w:rPr>
        <w:tab/>
      </w:r>
      <w:hyperlink r:id="rId19" w:history="1">
        <w:r w:rsidR="007D2A87" w:rsidRPr="007D2A87">
          <w:rPr>
            <w:rStyle w:val="ac"/>
            <w:lang w:val="en-GB"/>
          </w:rPr>
          <w:t>https://ec.europa.eu/energy/sites/ener/files/documents/se_final_necp_main_en.pdf</w:t>
        </w:r>
      </w:hyperlink>
    </w:p>
    <w:p w14:paraId="7AB71E68" w14:textId="403049B1" w:rsidR="00BA2F3D" w:rsidRPr="00AF6342" w:rsidRDefault="00F15392" w:rsidP="00BA2F3D">
      <w:pPr>
        <w:tabs>
          <w:tab w:val="left" w:pos="426"/>
        </w:tabs>
        <w:spacing w:line="360" w:lineRule="auto"/>
        <w:ind w:left="426" w:hanging="426"/>
        <w:jc w:val="both"/>
        <w:rPr>
          <w:lang w:val="uk-UA"/>
        </w:rPr>
      </w:pPr>
      <w:r w:rsidRPr="00AF6342">
        <w:rPr>
          <w:lang w:val="uk-UA"/>
        </w:rPr>
        <w:t>9</w:t>
      </w:r>
      <w:r w:rsidR="00BA2F3D" w:rsidRPr="00AF6342">
        <w:rPr>
          <w:lang w:val="uk-UA"/>
        </w:rPr>
        <w:t xml:space="preserve">. </w:t>
      </w:r>
      <w:r w:rsidR="00BA2F3D" w:rsidRPr="00AF6342">
        <w:rPr>
          <w:lang w:val="uk-UA"/>
        </w:rPr>
        <w:tab/>
      </w:r>
      <w:r w:rsidR="00BA2F3D" w:rsidRPr="00AF6342">
        <w:rPr>
          <w:i/>
          <w:lang w:val="uk-UA"/>
        </w:rPr>
        <w:t>Парк електромобілів</w:t>
      </w:r>
      <w:r w:rsidR="00BA2F3D" w:rsidRPr="00AF6342">
        <w:rPr>
          <w:lang w:val="uk-UA"/>
        </w:rPr>
        <w:t xml:space="preserve"> в Україні. Федерація роботодавців автомобільної галузі. </w:t>
      </w:r>
    </w:p>
    <w:p w14:paraId="5E168593" w14:textId="77777777" w:rsidR="00BA2F3D" w:rsidRPr="00AF6342" w:rsidRDefault="00BA2F3D" w:rsidP="00BA2F3D">
      <w:pPr>
        <w:tabs>
          <w:tab w:val="left" w:pos="426"/>
        </w:tabs>
        <w:spacing w:line="360" w:lineRule="auto"/>
        <w:ind w:left="426" w:hanging="426"/>
        <w:jc w:val="both"/>
        <w:rPr>
          <w:lang w:val="uk-UA"/>
        </w:rPr>
      </w:pPr>
      <w:r w:rsidRPr="00AF6342">
        <w:tab/>
      </w:r>
      <w:hyperlink r:id="rId20" w:history="1">
        <w:r w:rsidRPr="00AF6342">
          <w:rPr>
            <w:rStyle w:val="ac"/>
          </w:rPr>
          <w:t>https://fra.org.ua/uk/st/statistika/infoghrafika/park-elektromobiliv-v-ukrayini</w:t>
        </w:r>
      </w:hyperlink>
    </w:p>
    <w:p w14:paraId="4A48705D" w14:textId="0EC2391A" w:rsidR="006002C9" w:rsidRDefault="00BA2F3D" w:rsidP="003C7C47">
      <w:pPr>
        <w:tabs>
          <w:tab w:val="left" w:pos="426"/>
        </w:tabs>
        <w:spacing w:line="360" w:lineRule="auto"/>
        <w:ind w:left="426" w:hanging="426"/>
        <w:jc w:val="both"/>
        <w:rPr>
          <w:rStyle w:val="ac"/>
          <w:lang w:val="uk-UA"/>
        </w:rPr>
      </w:pPr>
      <w:r w:rsidRPr="00AF6342">
        <w:rPr>
          <w:lang w:val="uk-UA"/>
        </w:rPr>
        <w:t>1</w:t>
      </w:r>
      <w:r w:rsidR="00F15392" w:rsidRPr="00AF6342">
        <w:rPr>
          <w:lang w:val="uk-UA"/>
        </w:rPr>
        <w:t>0</w:t>
      </w:r>
      <w:r w:rsidR="006002C9" w:rsidRPr="00AF6342">
        <w:t>.</w:t>
      </w:r>
      <w:r w:rsidR="006002C9" w:rsidRPr="00AF6342">
        <w:tab/>
      </w:r>
      <w:r w:rsidR="006002C9" w:rsidRPr="00AF6342">
        <w:rPr>
          <w:i/>
          <w:lang w:val="uk-UA"/>
        </w:rPr>
        <w:t>Звіт</w:t>
      </w:r>
      <w:r w:rsidR="006002C9" w:rsidRPr="00AF6342">
        <w:rPr>
          <w:lang w:val="uk-UA"/>
        </w:rPr>
        <w:t xml:space="preserve"> про результати стимулювання та використання енергії, виробленої з відновлюваних джерел, в Україні за 2018-2019 рр., Держенергоефективності. </w:t>
      </w:r>
      <w:hyperlink r:id="rId21" w:history="1"/>
    </w:p>
    <w:p w14:paraId="3FAEE6D1" w14:textId="77777777" w:rsidR="00201A3A" w:rsidRPr="00201A3A" w:rsidRDefault="00201A3A" w:rsidP="00201A3A">
      <w:pPr>
        <w:tabs>
          <w:tab w:val="left" w:pos="426"/>
        </w:tabs>
        <w:spacing w:line="360" w:lineRule="auto"/>
        <w:ind w:left="426"/>
        <w:jc w:val="both"/>
        <w:rPr>
          <w:lang w:val="uk-UA"/>
        </w:rPr>
      </w:pPr>
      <w:r w:rsidRPr="00201A3A">
        <w:t>https</w:t>
      </w:r>
      <w:r w:rsidRPr="00201A3A">
        <w:rPr>
          <w:lang w:val="uk-UA"/>
        </w:rPr>
        <w:t>://</w:t>
      </w:r>
      <w:r w:rsidRPr="00201A3A">
        <w:t>saee</w:t>
      </w:r>
      <w:r w:rsidRPr="00201A3A">
        <w:rPr>
          <w:lang w:val="uk-UA"/>
        </w:rPr>
        <w:t>.</w:t>
      </w:r>
      <w:r w:rsidRPr="00201A3A">
        <w:t>gov</w:t>
      </w:r>
      <w:r w:rsidRPr="00201A3A">
        <w:rPr>
          <w:lang w:val="uk-UA"/>
        </w:rPr>
        <w:t>.</w:t>
      </w:r>
      <w:r w:rsidRPr="00201A3A">
        <w:t>ua</w:t>
      </w:r>
      <w:r w:rsidRPr="00201A3A">
        <w:rPr>
          <w:lang w:val="uk-UA"/>
        </w:rPr>
        <w:t>/</w:t>
      </w:r>
      <w:r w:rsidRPr="00201A3A">
        <w:t>sites</w:t>
      </w:r>
      <w:r w:rsidRPr="00201A3A">
        <w:rPr>
          <w:lang w:val="uk-UA"/>
        </w:rPr>
        <w:t>/</w:t>
      </w:r>
      <w:r w:rsidRPr="00201A3A">
        <w:t>default</w:t>
      </w:r>
      <w:r w:rsidRPr="00201A3A">
        <w:rPr>
          <w:lang w:val="uk-UA"/>
        </w:rPr>
        <w:t>/</w:t>
      </w:r>
      <w:r w:rsidRPr="00201A3A">
        <w:t>files</w:t>
      </w:r>
      <w:r w:rsidRPr="00201A3A">
        <w:rPr>
          <w:lang w:val="uk-UA"/>
        </w:rPr>
        <w:t>/</w:t>
      </w:r>
      <w:r w:rsidRPr="00201A3A">
        <w:t>Report</w:t>
      </w:r>
      <w:r w:rsidRPr="00201A3A">
        <w:rPr>
          <w:lang w:val="uk-UA"/>
        </w:rPr>
        <w:t>%20</w:t>
      </w:r>
      <w:r w:rsidRPr="00201A3A">
        <w:t>to</w:t>
      </w:r>
      <w:r w:rsidRPr="00201A3A">
        <w:rPr>
          <w:lang w:val="uk-UA"/>
        </w:rPr>
        <w:t>%20</w:t>
      </w:r>
      <w:r w:rsidRPr="00201A3A">
        <w:t>Energy</w:t>
      </w:r>
      <w:r w:rsidRPr="00201A3A">
        <w:rPr>
          <w:lang w:val="uk-UA"/>
        </w:rPr>
        <w:t>%20</w:t>
      </w:r>
      <w:r w:rsidRPr="00201A3A">
        <w:t>Commun</w:t>
      </w:r>
      <w:r w:rsidRPr="00201A3A">
        <w:rPr>
          <w:lang w:val="uk-UA"/>
        </w:rPr>
        <w:t>%20</w:t>
      </w:r>
      <w:r w:rsidRPr="00201A3A">
        <w:t>RES</w:t>
      </w:r>
      <w:r w:rsidRPr="00201A3A">
        <w:rPr>
          <w:lang w:val="uk-UA"/>
        </w:rPr>
        <w:t>%20</w:t>
      </w:r>
      <w:r w:rsidRPr="00201A3A">
        <w:t>UKraine</w:t>
      </w:r>
      <w:r w:rsidRPr="00201A3A">
        <w:rPr>
          <w:lang w:val="uk-UA"/>
        </w:rPr>
        <w:t>%202018-2019%20%28</w:t>
      </w:r>
      <w:r w:rsidRPr="00201A3A">
        <w:t>final</w:t>
      </w:r>
      <w:r w:rsidRPr="00201A3A">
        <w:rPr>
          <w:lang w:val="uk-UA"/>
        </w:rPr>
        <w:t>%29.</w:t>
      </w:r>
      <w:r w:rsidRPr="00201A3A">
        <w:t>pdf</w:t>
      </w:r>
    </w:p>
    <w:p w14:paraId="28C8D65F" w14:textId="400D49FB" w:rsidR="006002C9" w:rsidRPr="00AF6342" w:rsidRDefault="00CC42E5" w:rsidP="003C7C47">
      <w:pPr>
        <w:tabs>
          <w:tab w:val="left" w:pos="426"/>
        </w:tabs>
        <w:spacing w:line="360" w:lineRule="auto"/>
        <w:ind w:left="426" w:hanging="426"/>
        <w:jc w:val="both"/>
        <w:rPr>
          <w:lang w:val="en-US"/>
        </w:rPr>
      </w:pPr>
      <w:r w:rsidRPr="00AF6342">
        <w:rPr>
          <w:lang w:val="uk-UA"/>
        </w:rPr>
        <w:t>1</w:t>
      </w:r>
      <w:r w:rsidR="00F15392" w:rsidRPr="00AF6342">
        <w:rPr>
          <w:lang w:val="uk-UA"/>
        </w:rPr>
        <w:t>1</w:t>
      </w:r>
      <w:r w:rsidRPr="00AF6342">
        <w:rPr>
          <w:lang w:val="uk-UA"/>
        </w:rPr>
        <w:t xml:space="preserve">. </w:t>
      </w:r>
      <w:r w:rsidRPr="00AF6342">
        <w:rPr>
          <w:lang w:val="uk-UA"/>
        </w:rPr>
        <w:tab/>
      </w:r>
      <w:r w:rsidRPr="00AF6342">
        <w:rPr>
          <w:i/>
          <w:lang w:val="en-US"/>
        </w:rPr>
        <w:t>Action plans</w:t>
      </w:r>
      <w:r w:rsidRPr="00AF6342">
        <w:rPr>
          <w:lang w:val="en-US"/>
        </w:rPr>
        <w:t>, reports and statements, Ukraine. Energy Community.</w:t>
      </w:r>
    </w:p>
    <w:p w14:paraId="4DA4E97C" w14:textId="30D4B5F4" w:rsidR="00CC42E5" w:rsidRPr="00AF6342" w:rsidRDefault="00CC42E5" w:rsidP="003C7C47">
      <w:pPr>
        <w:tabs>
          <w:tab w:val="left" w:pos="426"/>
        </w:tabs>
        <w:spacing w:line="360" w:lineRule="auto"/>
        <w:ind w:left="426" w:hanging="426"/>
        <w:jc w:val="both"/>
        <w:rPr>
          <w:lang w:val="uk-UA"/>
        </w:rPr>
      </w:pPr>
      <w:r w:rsidRPr="00AF6342">
        <w:rPr>
          <w:lang w:val="uk-UA"/>
        </w:rPr>
        <w:tab/>
      </w:r>
      <w:hyperlink r:id="rId22" w:history="1">
        <w:r w:rsidRPr="00AF6342">
          <w:rPr>
            <w:rStyle w:val="ac"/>
            <w:lang w:val="en-US"/>
          </w:rPr>
          <w:t>https</w:t>
        </w:r>
        <w:r w:rsidRPr="00AF6342">
          <w:rPr>
            <w:rStyle w:val="ac"/>
            <w:lang w:val="uk-UA"/>
          </w:rPr>
          <w:t>://</w:t>
        </w:r>
        <w:r w:rsidRPr="00AF6342">
          <w:rPr>
            <w:rStyle w:val="ac"/>
            <w:lang w:val="en-US"/>
          </w:rPr>
          <w:t>www</w:t>
        </w:r>
        <w:r w:rsidRPr="00AF6342">
          <w:rPr>
            <w:rStyle w:val="ac"/>
            <w:lang w:val="uk-UA"/>
          </w:rPr>
          <w:t>.</w:t>
        </w:r>
        <w:r w:rsidRPr="00AF6342">
          <w:rPr>
            <w:rStyle w:val="ac"/>
            <w:lang w:val="en-US"/>
          </w:rPr>
          <w:t>energy</w:t>
        </w:r>
        <w:r w:rsidRPr="00AF6342">
          <w:rPr>
            <w:rStyle w:val="ac"/>
            <w:lang w:val="uk-UA"/>
          </w:rPr>
          <w:t>-</w:t>
        </w:r>
        <w:r w:rsidRPr="00AF6342">
          <w:rPr>
            <w:rStyle w:val="ac"/>
            <w:lang w:val="en-US"/>
          </w:rPr>
          <w:t>community</w:t>
        </w:r>
        <w:r w:rsidRPr="00AF6342">
          <w:rPr>
            <w:rStyle w:val="ac"/>
            <w:lang w:val="uk-UA"/>
          </w:rPr>
          <w:t>.</w:t>
        </w:r>
        <w:r w:rsidRPr="00AF6342">
          <w:rPr>
            <w:rStyle w:val="ac"/>
            <w:lang w:val="en-US"/>
          </w:rPr>
          <w:t>org</w:t>
        </w:r>
        <w:r w:rsidRPr="00AF6342">
          <w:rPr>
            <w:rStyle w:val="ac"/>
            <w:lang w:val="uk-UA"/>
          </w:rPr>
          <w:t>/</w:t>
        </w:r>
        <w:r w:rsidRPr="00AF6342">
          <w:rPr>
            <w:rStyle w:val="ac"/>
            <w:lang w:val="en-US"/>
          </w:rPr>
          <w:t>implementation</w:t>
        </w:r>
        <w:r w:rsidRPr="00AF6342">
          <w:rPr>
            <w:rStyle w:val="ac"/>
            <w:lang w:val="uk-UA"/>
          </w:rPr>
          <w:t>/</w:t>
        </w:r>
        <w:r w:rsidRPr="00AF6342">
          <w:rPr>
            <w:rStyle w:val="ac"/>
            <w:lang w:val="en-US"/>
          </w:rPr>
          <w:t>Ukraine</w:t>
        </w:r>
        <w:r w:rsidRPr="00AF6342">
          <w:rPr>
            <w:rStyle w:val="ac"/>
            <w:lang w:val="uk-UA"/>
          </w:rPr>
          <w:t>/</w:t>
        </w:r>
        <w:r w:rsidRPr="00AF6342">
          <w:rPr>
            <w:rStyle w:val="ac"/>
            <w:lang w:val="en-US"/>
          </w:rPr>
          <w:t>reporting</w:t>
        </w:r>
        <w:r w:rsidRPr="00AF6342">
          <w:rPr>
            <w:rStyle w:val="ac"/>
            <w:lang w:val="uk-UA"/>
          </w:rPr>
          <w:t>.</w:t>
        </w:r>
        <w:r w:rsidRPr="00AF6342">
          <w:rPr>
            <w:rStyle w:val="ac"/>
            <w:lang w:val="en-US"/>
          </w:rPr>
          <w:t>html</w:t>
        </w:r>
      </w:hyperlink>
    </w:p>
    <w:p w14:paraId="746F1E9B" w14:textId="0CA209DC" w:rsidR="005C04D1" w:rsidRPr="00AF6342" w:rsidRDefault="005C04D1" w:rsidP="005C04D1">
      <w:pPr>
        <w:tabs>
          <w:tab w:val="left" w:pos="426"/>
        </w:tabs>
        <w:spacing w:line="360" w:lineRule="auto"/>
        <w:ind w:left="426" w:hanging="426"/>
        <w:jc w:val="both"/>
        <w:rPr>
          <w:lang w:val="uk-UA"/>
        </w:rPr>
      </w:pPr>
      <w:r w:rsidRPr="00AF6342">
        <w:rPr>
          <w:lang w:val="uk-UA"/>
        </w:rPr>
        <w:t>1</w:t>
      </w:r>
      <w:r w:rsidR="00F15392" w:rsidRPr="00AF6342">
        <w:rPr>
          <w:lang w:val="uk-UA"/>
        </w:rPr>
        <w:t>2</w:t>
      </w:r>
      <w:r w:rsidRPr="00AF6342">
        <w:rPr>
          <w:lang w:val="uk-UA"/>
        </w:rPr>
        <w:t xml:space="preserve">. </w:t>
      </w:r>
      <w:r w:rsidRPr="00AF6342">
        <w:rPr>
          <w:lang w:val="uk-UA"/>
        </w:rPr>
        <w:tab/>
        <w:t>Розпорядження К</w:t>
      </w:r>
      <w:r w:rsidR="009804BB" w:rsidRPr="00AF6342">
        <w:rPr>
          <w:lang w:val="uk-UA"/>
        </w:rPr>
        <w:t xml:space="preserve">абінету </w:t>
      </w:r>
      <w:r w:rsidRPr="00AF6342">
        <w:rPr>
          <w:lang w:val="uk-UA"/>
        </w:rPr>
        <w:t>М</w:t>
      </w:r>
      <w:r w:rsidR="009804BB" w:rsidRPr="00AF6342">
        <w:rPr>
          <w:lang w:val="uk-UA"/>
        </w:rPr>
        <w:t xml:space="preserve">іністрів </w:t>
      </w:r>
      <w:r w:rsidRPr="00AF6342">
        <w:rPr>
          <w:lang w:val="uk-UA"/>
        </w:rPr>
        <w:t>У</w:t>
      </w:r>
      <w:r w:rsidR="009804BB" w:rsidRPr="00AF6342">
        <w:rPr>
          <w:lang w:val="uk-UA"/>
        </w:rPr>
        <w:t>країни</w:t>
      </w:r>
      <w:r w:rsidRPr="00AF6342">
        <w:rPr>
          <w:lang w:val="uk-UA"/>
        </w:rPr>
        <w:t xml:space="preserve"> </w:t>
      </w:r>
      <w:r w:rsidR="009804BB" w:rsidRPr="00AF6342">
        <w:rPr>
          <w:lang w:val="uk-UA"/>
        </w:rPr>
        <w:t xml:space="preserve">№ 902-р </w:t>
      </w:r>
      <w:r w:rsidRPr="00AF6342">
        <w:rPr>
          <w:lang w:val="uk-UA"/>
        </w:rPr>
        <w:t xml:space="preserve">від </w:t>
      </w:r>
      <w:r w:rsidR="009804BB" w:rsidRPr="00AF6342">
        <w:rPr>
          <w:lang w:val="uk-UA"/>
        </w:rPr>
        <w:t>01.</w:t>
      </w:r>
      <w:r w:rsidRPr="00AF6342">
        <w:rPr>
          <w:lang w:val="uk-UA"/>
        </w:rPr>
        <w:t>1</w:t>
      </w:r>
      <w:r w:rsidR="009804BB" w:rsidRPr="00AF6342">
        <w:rPr>
          <w:lang w:val="uk-UA"/>
        </w:rPr>
        <w:t>0.2014.</w:t>
      </w:r>
      <w:r w:rsidRPr="00AF6342">
        <w:rPr>
          <w:lang w:val="uk-UA"/>
        </w:rPr>
        <w:t xml:space="preserve"> </w:t>
      </w:r>
    </w:p>
    <w:p w14:paraId="6D71389B" w14:textId="176FCA27" w:rsidR="00E36592" w:rsidRPr="00AF6342" w:rsidRDefault="005C04D1" w:rsidP="005C04D1">
      <w:pPr>
        <w:tabs>
          <w:tab w:val="left" w:pos="426"/>
        </w:tabs>
        <w:spacing w:line="360" w:lineRule="auto"/>
        <w:ind w:left="426" w:hanging="426"/>
        <w:jc w:val="both"/>
        <w:rPr>
          <w:lang w:val="uk-UA"/>
        </w:rPr>
      </w:pPr>
      <w:r w:rsidRPr="00AF6342">
        <w:rPr>
          <w:lang w:val="uk-UA"/>
        </w:rPr>
        <w:tab/>
      </w:r>
      <w:hyperlink r:id="rId23" w:anchor="n10" w:history="1">
        <w:r w:rsidRPr="00AF6342">
          <w:rPr>
            <w:rStyle w:val="ac"/>
            <w:lang w:val="en-US"/>
          </w:rPr>
          <w:t>https</w:t>
        </w:r>
        <w:r w:rsidRPr="00AF6342">
          <w:rPr>
            <w:rStyle w:val="ac"/>
            <w:lang w:val="uk-UA"/>
          </w:rPr>
          <w:t>://</w:t>
        </w:r>
        <w:r w:rsidRPr="00AF6342">
          <w:rPr>
            <w:rStyle w:val="ac"/>
            <w:lang w:val="en-US"/>
          </w:rPr>
          <w:t>zakon</w:t>
        </w:r>
        <w:r w:rsidRPr="00AF6342">
          <w:rPr>
            <w:rStyle w:val="ac"/>
            <w:lang w:val="uk-UA"/>
          </w:rPr>
          <w:t>.</w:t>
        </w:r>
        <w:r w:rsidRPr="00AF6342">
          <w:rPr>
            <w:rStyle w:val="ac"/>
            <w:lang w:val="en-US"/>
          </w:rPr>
          <w:t>rada</w:t>
        </w:r>
        <w:r w:rsidRPr="00AF6342">
          <w:rPr>
            <w:rStyle w:val="ac"/>
            <w:lang w:val="uk-UA"/>
          </w:rPr>
          <w:t>.</w:t>
        </w:r>
        <w:r w:rsidRPr="00AF6342">
          <w:rPr>
            <w:rStyle w:val="ac"/>
            <w:lang w:val="en-US"/>
          </w:rPr>
          <w:t>gov</w:t>
        </w:r>
        <w:r w:rsidRPr="00AF6342">
          <w:rPr>
            <w:rStyle w:val="ac"/>
            <w:lang w:val="uk-UA"/>
          </w:rPr>
          <w:t>.</w:t>
        </w:r>
        <w:r w:rsidRPr="00AF6342">
          <w:rPr>
            <w:rStyle w:val="ac"/>
            <w:lang w:val="en-US"/>
          </w:rPr>
          <w:t>ua</w:t>
        </w:r>
        <w:r w:rsidRPr="00AF6342">
          <w:rPr>
            <w:rStyle w:val="ac"/>
            <w:lang w:val="uk-UA"/>
          </w:rPr>
          <w:t>/</w:t>
        </w:r>
        <w:r w:rsidRPr="00AF6342">
          <w:rPr>
            <w:rStyle w:val="ac"/>
            <w:lang w:val="en-US"/>
          </w:rPr>
          <w:t>laws</w:t>
        </w:r>
        <w:r w:rsidRPr="00AF6342">
          <w:rPr>
            <w:rStyle w:val="ac"/>
            <w:lang w:val="uk-UA"/>
          </w:rPr>
          <w:t>/</w:t>
        </w:r>
        <w:r w:rsidRPr="00AF6342">
          <w:rPr>
            <w:rStyle w:val="ac"/>
            <w:lang w:val="en-US"/>
          </w:rPr>
          <w:t>show</w:t>
        </w:r>
        <w:r w:rsidRPr="00AF6342">
          <w:rPr>
            <w:rStyle w:val="ac"/>
            <w:lang w:val="uk-UA"/>
          </w:rPr>
          <w:t>/902-2014-%</w:t>
        </w:r>
        <w:r w:rsidRPr="00AF6342">
          <w:rPr>
            <w:rStyle w:val="ac"/>
            <w:lang w:val="en-US"/>
          </w:rPr>
          <w:t>D</w:t>
        </w:r>
        <w:r w:rsidRPr="00AF6342">
          <w:rPr>
            <w:rStyle w:val="ac"/>
            <w:lang w:val="uk-UA"/>
          </w:rPr>
          <w:t>1%80#</w:t>
        </w:r>
        <w:r w:rsidRPr="00AF6342">
          <w:rPr>
            <w:rStyle w:val="ac"/>
            <w:lang w:val="en-US"/>
          </w:rPr>
          <w:t>n</w:t>
        </w:r>
        <w:r w:rsidRPr="00AF6342">
          <w:rPr>
            <w:rStyle w:val="ac"/>
            <w:lang w:val="uk-UA"/>
          </w:rPr>
          <w:t>10</w:t>
        </w:r>
      </w:hyperlink>
    </w:p>
    <w:p w14:paraId="1E97C88B" w14:textId="073AD07A" w:rsidR="00716D1B" w:rsidRPr="00AF6342" w:rsidRDefault="00716D1B" w:rsidP="00716D1B">
      <w:pPr>
        <w:tabs>
          <w:tab w:val="left" w:pos="426"/>
        </w:tabs>
        <w:spacing w:line="360" w:lineRule="auto"/>
        <w:ind w:left="426" w:hanging="426"/>
        <w:jc w:val="both"/>
        <w:rPr>
          <w:lang w:val="uk-UA"/>
        </w:rPr>
      </w:pPr>
      <w:r w:rsidRPr="00AF6342">
        <w:rPr>
          <w:lang w:val="uk-UA"/>
        </w:rPr>
        <w:t>1</w:t>
      </w:r>
      <w:r w:rsidR="00F15392" w:rsidRPr="00AF6342">
        <w:rPr>
          <w:lang w:val="uk-UA"/>
        </w:rPr>
        <w:t>3</w:t>
      </w:r>
      <w:r w:rsidRPr="00AF6342">
        <w:rPr>
          <w:lang w:val="uk-UA"/>
        </w:rPr>
        <w:t xml:space="preserve">. </w:t>
      </w:r>
      <w:r w:rsidRPr="00AF6342">
        <w:rPr>
          <w:lang w:val="uk-UA"/>
        </w:rPr>
        <w:tab/>
      </w:r>
      <w:r w:rsidRPr="00AF6342">
        <w:rPr>
          <w:i/>
          <w:lang w:val="uk-UA"/>
        </w:rPr>
        <w:t>Інформація</w:t>
      </w:r>
      <w:r w:rsidRPr="00AF6342">
        <w:rPr>
          <w:lang w:val="uk-UA"/>
        </w:rPr>
        <w:t xml:space="preserve"> щодо частки енергії, виробленої з відновлюваних джерел, у кінцевому енергоспоживанні у 2019 році, Держенергоефективності. </w:t>
      </w:r>
      <w:hyperlink r:id="rId24" w:history="1">
        <w:r w:rsidRPr="00AF6342">
          <w:rPr>
            <w:rStyle w:val="ac"/>
            <w:iCs/>
            <w:lang w:val="uk-UA"/>
          </w:rPr>
          <w:t>https://saee.gov.ua/sites/default/files/RE_SAEE_2019.pdf</w:t>
        </w:r>
      </w:hyperlink>
    </w:p>
    <w:p w14:paraId="15DF1E09" w14:textId="587736C1" w:rsidR="00FE2DF6" w:rsidRPr="00AF6342" w:rsidRDefault="00FE2DF6" w:rsidP="00FE2DF6">
      <w:pPr>
        <w:tabs>
          <w:tab w:val="left" w:pos="426"/>
        </w:tabs>
        <w:spacing w:line="360" w:lineRule="auto"/>
        <w:ind w:left="426" w:hanging="426"/>
        <w:jc w:val="both"/>
        <w:rPr>
          <w:lang w:val="uk-UA"/>
        </w:rPr>
      </w:pPr>
      <w:r w:rsidRPr="00AF6342">
        <w:rPr>
          <w:lang w:val="uk-UA"/>
        </w:rPr>
        <w:t>1</w:t>
      </w:r>
      <w:r w:rsidR="00F15392" w:rsidRPr="00AF6342">
        <w:rPr>
          <w:lang w:val="uk-UA"/>
        </w:rPr>
        <w:t>4</w:t>
      </w:r>
      <w:r w:rsidRPr="00AF6342">
        <w:rPr>
          <w:lang w:val="uk-UA"/>
        </w:rPr>
        <w:t xml:space="preserve">. </w:t>
      </w:r>
      <w:r w:rsidRPr="00AF6342">
        <w:rPr>
          <w:lang w:val="uk-UA"/>
        </w:rPr>
        <w:tab/>
      </w:r>
      <w:r w:rsidRPr="00AF6342">
        <w:rPr>
          <w:i/>
          <w:lang w:val="uk-UA"/>
        </w:rPr>
        <w:t>Розпорядження</w:t>
      </w:r>
      <w:r w:rsidRPr="00AF6342">
        <w:rPr>
          <w:lang w:val="uk-UA"/>
        </w:rPr>
        <w:t xml:space="preserve"> Кабінету Міністрів України № 430-р від 30.05.2018. </w:t>
      </w:r>
    </w:p>
    <w:p w14:paraId="6A8A4820" w14:textId="12D0D436" w:rsidR="00E36592" w:rsidRPr="00FE2DF6" w:rsidRDefault="00FE2DF6" w:rsidP="00FE2DF6">
      <w:pPr>
        <w:tabs>
          <w:tab w:val="left" w:pos="426"/>
        </w:tabs>
        <w:spacing w:line="360" w:lineRule="auto"/>
        <w:ind w:left="426" w:hanging="426"/>
        <w:jc w:val="both"/>
        <w:rPr>
          <w:lang w:val="uk-UA"/>
        </w:rPr>
      </w:pPr>
      <w:r w:rsidRPr="00AF6342">
        <w:rPr>
          <w:lang w:val="uk-UA"/>
        </w:rPr>
        <w:tab/>
      </w:r>
      <w:hyperlink r:id="rId25" w:anchor="Text" w:history="1">
        <w:r w:rsidRPr="00AF6342">
          <w:rPr>
            <w:rStyle w:val="ac"/>
            <w:lang w:val="en-US"/>
          </w:rPr>
          <w:t>https</w:t>
        </w:r>
        <w:r w:rsidRPr="00AF6342">
          <w:rPr>
            <w:rStyle w:val="ac"/>
            <w:lang w:val="uk-UA"/>
          </w:rPr>
          <w:t>://</w:t>
        </w:r>
        <w:r w:rsidRPr="00AF6342">
          <w:rPr>
            <w:rStyle w:val="ac"/>
            <w:lang w:val="en-US"/>
          </w:rPr>
          <w:t>zakon</w:t>
        </w:r>
        <w:r w:rsidRPr="00AF6342">
          <w:rPr>
            <w:rStyle w:val="ac"/>
            <w:lang w:val="uk-UA"/>
          </w:rPr>
          <w:t>.</w:t>
        </w:r>
        <w:r w:rsidRPr="00AF6342">
          <w:rPr>
            <w:rStyle w:val="ac"/>
            <w:lang w:val="en-US"/>
          </w:rPr>
          <w:t>rada</w:t>
        </w:r>
        <w:r w:rsidRPr="00AF6342">
          <w:rPr>
            <w:rStyle w:val="ac"/>
            <w:lang w:val="uk-UA"/>
          </w:rPr>
          <w:t>.</w:t>
        </w:r>
        <w:r w:rsidRPr="00AF6342">
          <w:rPr>
            <w:rStyle w:val="ac"/>
            <w:lang w:val="en-US"/>
          </w:rPr>
          <w:t>gov</w:t>
        </w:r>
        <w:r w:rsidRPr="00AF6342">
          <w:rPr>
            <w:rStyle w:val="ac"/>
            <w:lang w:val="uk-UA"/>
          </w:rPr>
          <w:t>.</w:t>
        </w:r>
        <w:r w:rsidRPr="00AF6342">
          <w:rPr>
            <w:rStyle w:val="ac"/>
            <w:lang w:val="en-US"/>
          </w:rPr>
          <w:t>ua</w:t>
        </w:r>
        <w:r w:rsidRPr="00AF6342">
          <w:rPr>
            <w:rStyle w:val="ac"/>
            <w:lang w:val="uk-UA"/>
          </w:rPr>
          <w:t>/</w:t>
        </w:r>
        <w:r w:rsidRPr="00AF6342">
          <w:rPr>
            <w:rStyle w:val="ac"/>
            <w:lang w:val="en-US"/>
          </w:rPr>
          <w:t>laws</w:t>
        </w:r>
        <w:r w:rsidRPr="00AF6342">
          <w:rPr>
            <w:rStyle w:val="ac"/>
            <w:lang w:val="uk-UA"/>
          </w:rPr>
          <w:t>/</w:t>
        </w:r>
        <w:r w:rsidRPr="00AF6342">
          <w:rPr>
            <w:rStyle w:val="ac"/>
            <w:lang w:val="en-US"/>
          </w:rPr>
          <w:t>show</w:t>
        </w:r>
        <w:r w:rsidRPr="00AF6342">
          <w:rPr>
            <w:rStyle w:val="ac"/>
            <w:lang w:val="uk-UA"/>
          </w:rPr>
          <w:t>/430-2018-%</w:t>
        </w:r>
        <w:r w:rsidRPr="00AF6342">
          <w:rPr>
            <w:rStyle w:val="ac"/>
            <w:lang w:val="en-US"/>
          </w:rPr>
          <w:t>D</w:t>
        </w:r>
        <w:r w:rsidRPr="00AF6342">
          <w:rPr>
            <w:rStyle w:val="ac"/>
            <w:lang w:val="uk-UA"/>
          </w:rPr>
          <w:t>1%80#</w:t>
        </w:r>
        <w:r w:rsidRPr="00AF6342">
          <w:rPr>
            <w:rStyle w:val="ac"/>
            <w:lang w:val="en-US"/>
          </w:rPr>
          <w:t>Text</w:t>
        </w:r>
      </w:hyperlink>
    </w:p>
    <w:p w14:paraId="57D49075" w14:textId="169DCCD4" w:rsidR="00E36592" w:rsidRPr="00315EB4" w:rsidRDefault="00F15392" w:rsidP="003C7C47">
      <w:pPr>
        <w:tabs>
          <w:tab w:val="left" w:pos="426"/>
        </w:tabs>
        <w:spacing w:line="360" w:lineRule="auto"/>
        <w:ind w:left="426" w:hanging="426"/>
        <w:jc w:val="both"/>
        <w:rPr>
          <w:highlight w:val="yellow"/>
          <w:lang w:val="uk-UA"/>
        </w:rPr>
      </w:pPr>
      <w:r w:rsidRPr="00F15392">
        <w:rPr>
          <w:lang w:val="uk-UA"/>
        </w:rPr>
        <w:t xml:space="preserve">15. </w:t>
      </w:r>
      <w:r>
        <w:rPr>
          <w:lang w:val="uk-UA"/>
        </w:rPr>
        <w:tab/>
      </w:r>
      <w:r w:rsidRPr="00F15392">
        <w:rPr>
          <w:i/>
          <w:lang w:val="uk-UA"/>
        </w:rPr>
        <w:t>Аналітичний огляд</w:t>
      </w:r>
      <w:r w:rsidRPr="00F15392">
        <w:rPr>
          <w:lang w:val="uk-UA"/>
        </w:rPr>
        <w:t xml:space="preserve"> </w:t>
      </w:r>
      <w:r>
        <w:rPr>
          <w:lang w:val="uk-UA"/>
        </w:rPr>
        <w:t>О</w:t>
      </w:r>
      <w:r w:rsidRPr="00F15392">
        <w:rPr>
          <w:lang w:val="uk-UA"/>
        </w:rPr>
        <w:t xml:space="preserve">новленого національно визначеного внеску України до </w:t>
      </w:r>
      <w:r>
        <w:rPr>
          <w:lang w:val="uk-UA"/>
        </w:rPr>
        <w:t>П</w:t>
      </w:r>
      <w:r w:rsidRPr="00F15392">
        <w:rPr>
          <w:lang w:val="uk-UA"/>
        </w:rPr>
        <w:t xml:space="preserve">аризької угоди. Міністерство захисту довкілля та природних ресурсів України, липень 2021. </w:t>
      </w:r>
      <w:hyperlink r:id="rId26" w:history="1">
        <w:r w:rsidRPr="00056E02">
          <w:rPr>
            <w:rStyle w:val="ac"/>
          </w:rPr>
          <w:t>https://bit.ly/3hOKZzE</w:t>
        </w:r>
      </w:hyperlink>
    </w:p>
    <w:p w14:paraId="031D3C9B" w14:textId="77777777" w:rsidR="002A443F" w:rsidRPr="00315EB4" w:rsidRDefault="002A443F" w:rsidP="005A4D39">
      <w:pPr>
        <w:spacing w:line="360" w:lineRule="auto"/>
        <w:jc w:val="center"/>
        <w:rPr>
          <w:sz w:val="24"/>
          <w:szCs w:val="24"/>
          <w:highlight w:val="yellow"/>
          <w:lang w:val="uk-UA"/>
        </w:rPr>
        <w:sectPr w:rsidR="002A443F" w:rsidRPr="00315EB4" w:rsidSect="005B79D7">
          <w:footerReference w:type="even" r:id="rId27"/>
          <w:footerReference w:type="default" r:id="rId28"/>
          <w:type w:val="nextColumn"/>
          <w:pgSz w:w="11906" w:h="16838"/>
          <w:pgMar w:top="1418" w:right="851" w:bottom="1418" w:left="1418" w:header="709" w:footer="709" w:gutter="0"/>
          <w:cols w:space="709"/>
          <w:docGrid w:linePitch="360"/>
        </w:sectPr>
      </w:pPr>
    </w:p>
    <w:p w14:paraId="13AAADCD" w14:textId="71C0E351" w:rsidR="005B536E" w:rsidRPr="00315EB4" w:rsidRDefault="0045032D" w:rsidP="00446AAD">
      <w:pPr>
        <w:spacing w:line="360" w:lineRule="auto"/>
        <w:jc w:val="center"/>
        <w:rPr>
          <w:b/>
          <w:caps/>
          <w:sz w:val="22"/>
          <w:szCs w:val="22"/>
          <w:highlight w:val="yellow"/>
          <w:lang w:val="en-US"/>
        </w:rPr>
      </w:pPr>
      <w:r w:rsidRPr="0045032D">
        <w:rPr>
          <w:b/>
          <w:caps/>
          <w:sz w:val="22"/>
          <w:szCs w:val="22"/>
          <w:lang w:val="uk-UA"/>
        </w:rPr>
        <w:lastRenderedPageBreak/>
        <w:t>CURRENT SITUATION AND PROSPECTS OF RENEWABLE ENERGY USE IN THE TRANSPORT SECTOR</w:t>
      </w:r>
    </w:p>
    <w:p w14:paraId="15DA3A64" w14:textId="0CA4F448" w:rsidR="00C16A95" w:rsidRPr="00190B0A" w:rsidRDefault="009040CB" w:rsidP="000945BD">
      <w:pPr>
        <w:spacing w:line="360" w:lineRule="auto"/>
        <w:outlineLvl w:val="0"/>
        <w:rPr>
          <w:b/>
          <w:sz w:val="22"/>
          <w:szCs w:val="22"/>
          <w:lang w:val="uk-UA"/>
        </w:rPr>
      </w:pPr>
      <w:r w:rsidRPr="00190B0A">
        <w:rPr>
          <w:b/>
          <w:sz w:val="22"/>
          <w:szCs w:val="22"/>
          <w:lang w:val="en-US"/>
        </w:rPr>
        <w:t>Zheliezna</w:t>
      </w:r>
      <w:r w:rsidRPr="00190B0A">
        <w:rPr>
          <w:b/>
          <w:sz w:val="22"/>
          <w:szCs w:val="22"/>
          <w:lang w:val="uk-UA"/>
        </w:rPr>
        <w:t xml:space="preserve"> </w:t>
      </w:r>
      <w:r w:rsidRPr="00190B0A">
        <w:rPr>
          <w:b/>
          <w:sz w:val="22"/>
          <w:szCs w:val="22"/>
          <w:lang w:val="en-US"/>
        </w:rPr>
        <w:t>T</w:t>
      </w:r>
      <w:r w:rsidRPr="00190B0A">
        <w:rPr>
          <w:b/>
          <w:sz w:val="22"/>
          <w:szCs w:val="22"/>
          <w:lang w:val="uk-UA"/>
        </w:rPr>
        <w:t>.</w:t>
      </w:r>
      <w:r w:rsidRPr="00190B0A">
        <w:rPr>
          <w:b/>
          <w:sz w:val="22"/>
          <w:szCs w:val="22"/>
          <w:lang w:val="en-US"/>
        </w:rPr>
        <w:t>A</w:t>
      </w:r>
      <w:r w:rsidRPr="00190B0A">
        <w:rPr>
          <w:b/>
          <w:sz w:val="22"/>
          <w:szCs w:val="22"/>
          <w:lang w:val="uk-UA"/>
        </w:rPr>
        <w:t>.</w:t>
      </w:r>
      <w:r w:rsidR="00190B0A" w:rsidRPr="00190B0A">
        <w:rPr>
          <w:b/>
          <w:sz w:val="22"/>
          <w:szCs w:val="22"/>
          <w:lang w:val="uk-UA"/>
        </w:rPr>
        <w:t xml:space="preserve">, </w:t>
      </w:r>
      <w:r w:rsidR="00190B0A" w:rsidRPr="00190B0A">
        <w:rPr>
          <w:b/>
          <w:sz w:val="22"/>
          <w:szCs w:val="22"/>
          <w:lang w:val="en-GB"/>
        </w:rPr>
        <w:t>Bashtovyi</w:t>
      </w:r>
      <w:r w:rsidR="00190B0A" w:rsidRPr="00190B0A">
        <w:rPr>
          <w:b/>
          <w:sz w:val="22"/>
          <w:szCs w:val="22"/>
          <w:lang w:val="uk-UA"/>
        </w:rPr>
        <w:t xml:space="preserve"> </w:t>
      </w:r>
      <w:r w:rsidR="00190B0A" w:rsidRPr="00190B0A">
        <w:rPr>
          <w:b/>
          <w:sz w:val="22"/>
          <w:szCs w:val="22"/>
          <w:lang w:val="en-GB"/>
        </w:rPr>
        <w:t>A</w:t>
      </w:r>
      <w:r w:rsidR="00190B0A" w:rsidRPr="00190B0A">
        <w:rPr>
          <w:b/>
          <w:sz w:val="22"/>
          <w:szCs w:val="22"/>
          <w:lang w:val="uk-UA"/>
        </w:rPr>
        <w:t>.</w:t>
      </w:r>
      <w:r w:rsidR="00190B0A" w:rsidRPr="00190B0A">
        <w:rPr>
          <w:b/>
          <w:sz w:val="22"/>
          <w:szCs w:val="22"/>
          <w:lang w:val="en-GB"/>
        </w:rPr>
        <w:t>I</w:t>
      </w:r>
      <w:r w:rsidR="00190B0A" w:rsidRPr="00190B0A">
        <w:rPr>
          <w:b/>
          <w:sz w:val="22"/>
          <w:szCs w:val="22"/>
          <w:lang w:val="uk-UA"/>
        </w:rPr>
        <w:t>.</w:t>
      </w:r>
    </w:p>
    <w:p w14:paraId="6FFEB92F" w14:textId="579A32F3" w:rsidR="00C16A95" w:rsidRPr="00AA37A8" w:rsidRDefault="00C16A95" w:rsidP="00AA37A8">
      <w:pPr>
        <w:spacing w:line="276" w:lineRule="auto"/>
        <w:rPr>
          <w:i/>
          <w:sz w:val="22"/>
          <w:szCs w:val="22"/>
          <w:lang w:val="en-US"/>
        </w:rPr>
      </w:pPr>
      <w:r w:rsidRPr="00AA37A8">
        <w:rPr>
          <w:i/>
          <w:sz w:val="22"/>
          <w:szCs w:val="22"/>
          <w:lang w:val="en-US"/>
        </w:rPr>
        <w:t>Institute of Engineering Thermophysics of the National Academy of Sciences of Ukraine, vul.</w:t>
      </w:r>
      <w:r w:rsidR="00C661C0" w:rsidRPr="00AA37A8">
        <w:rPr>
          <w:i/>
          <w:sz w:val="22"/>
          <w:szCs w:val="22"/>
          <w:lang w:val="en-US"/>
        </w:rPr>
        <w:t> </w:t>
      </w:r>
      <w:r w:rsidR="000C0D56" w:rsidRPr="00AA37A8">
        <w:rPr>
          <w:i/>
          <w:sz w:val="22"/>
          <w:szCs w:val="22"/>
          <w:lang w:val="en-US"/>
        </w:rPr>
        <w:t>Marii Kapnist</w:t>
      </w:r>
      <w:r w:rsidRPr="00AA37A8">
        <w:rPr>
          <w:i/>
          <w:sz w:val="22"/>
          <w:szCs w:val="22"/>
          <w:lang w:val="en-US"/>
        </w:rPr>
        <w:t>, 2a, Kyiv, 03</w:t>
      </w:r>
      <w:r w:rsidR="008817FA" w:rsidRPr="00AA37A8">
        <w:rPr>
          <w:i/>
          <w:sz w:val="22"/>
          <w:szCs w:val="22"/>
          <w:lang w:val="uk-UA"/>
        </w:rPr>
        <w:t>057</w:t>
      </w:r>
      <w:r w:rsidRPr="00AA37A8">
        <w:rPr>
          <w:i/>
          <w:sz w:val="22"/>
          <w:szCs w:val="22"/>
          <w:lang w:val="en-US"/>
        </w:rPr>
        <w:t>, Ukraine</w:t>
      </w:r>
    </w:p>
    <w:p w14:paraId="1A133C62" w14:textId="4C140B3F" w:rsidR="00C16A95" w:rsidRPr="006A3367" w:rsidRDefault="006A3367" w:rsidP="006A3367">
      <w:pPr>
        <w:spacing w:line="360" w:lineRule="auto"/>
        <w:jc w:val="center"/>
        <w:rPr>
          <w:sz w:val="22"/>
          <w:szCs w:val="22"/>
          <w:lang w:val="en-US"/>
        </w:rPr>
      </w:pPr>
      <w:r w:rsidRPr="006A3367">
        <w:rPr>
          <w:sz w:val="22"/>
          <w:szCs w:val="22"/>
          <w:u w:val="single"/>
          <w:lang w:val="uk-UA"/>
        </w:rPr>
        <w:t>https:doi.org//10.31472/ttpe.1.2022.</w:t>
      </w:r>
      <w:r w:rsidR="008844A5">
        <w:rPr>
          <w:sz w:val="22"/>
          <w:szCs w:val="22"/>
          <w:u w:val="single"/>
          <w:lang w:val="uk-UA"/>
        </w:rPr>
        <w:t>5</w:t>
      </w:r>
      <w:bookmarkStart w:id="4" w:name="_GoBack"/>
      <w:bookmarkEnd w:id="4"/>
    </w:p>
    <w:p w14:paraId="6F003C43" w14:textId="1D5F2CC6" w:rsidR="00A6157C" w:rsidRPr="00315EB4" w:rsidRDefault="00966F74" w:rsidP="006A3367">
      <w:pPr>
        <w:spacing w:line="276" w:lineRule="auto"/>
        <w:jc w:val="both"/>
        <w:rPr>
          <w:sz w:val="22"/>
          <w:szCs w:val="22"/>
          <w:highlight w:val="yellow"/>
          <w:lang w:val="en-US"/>
        </w:rPr>
      </w:pPr>
      <w:r w:rsidRPr="00966F74">
        <w:rPr>
          <w:sz w:val="22"/>
          <w:szCs w:val="22"/>
          <w:lang w:val="en-US"/>
        </w:rPr>
        <w:t xml:space="preserve">The aim of the work is to develop recommendations for Ukraine to accelerate the involvement of biofuels in the transport sector. The current state and prospects of the introduction of renewable energy in the transport sector of the European Union are analyzed. It is shown that the fulfillment of the ambitious goal of the European Green </w:t>
      </w:r>
      <w:r w:rsidR="0096521F">
        <w:rPr>
          <w:sz w:val="22"/>
          <w:szCs w:val="22"/>
          <w:lang w:val="en-US"/>
        </w:rPr>
        <w:t>Deal</w:t>
      </w:r>
      <w:r w:rsidRPr="00966F74">
        <w:rPr>
          <w:sz w:val="22"/>
          <w:szCs w:val="22"/>
          <w:lang w:val="en-US"/>
        </w:rPr>
        <w:t xml:space="preserve"> to achieve climate neutrality in Europe by 2050 largely depends on the success of reducing carbon dioxide emissions </w:t>
      </w:r>
      <w:r w:rsidR="0096521F">
        <w:rPr>
          <w:sz w:val="22"/>
          <w:szCs w:val="22"/>
          <w:lang w:val="en-US"/>
        </w:rPr>
        <w:t>o</w:t>
      </w:r>
      <w:r w:rsidRPr="00966F74">
        <w:rPr>
          <w:sz w:val="22"/>
          <w:szCs w:val="22"/>
          <w:lang w:val="en-US"/>
        </w:rPr>
        <w:t xml:space="preserve">n transport. This sector is the most difficult to decarbonize compared to others, so the European Green </w:t>
      </w:r>
      <w:r w:rsidR="0096521F">
        <w:rPr>
          <w:sz w:val="22"/>
          <w:szCs w:val="22"/>
          <w:lang w:val="en-US"/>
        </w:rPr>
        <w:t>Deal</w:t>
      </w:r>
      <w:r w:rsidRPr="00966F74">
        <w:rPr>
          <w:sz w:val="22"/>
          <w:szCs w:val="22"/>
          <w:lang w:val="en-US"/>
        </w:rPr>
        <w:t xml:space="preserve"> pays special attention to it. In Ukraine, the situation is similar</w:t>
      </w:r>
      <w:r w:rsidR="0096521F">
        <w:rPr>
          <w:sz w:val="22"/>
          <w:szCs w:val="22"/>
          <w:lang w:val="en-US"/>
        </w:rPr>
        <w:t>:</w:t>
      </w:r>
      <w:r w:rsidRPr="00966F74">
        <w:rPr>
          <w:sz w:val="22"/>
          <w:szCs w:val="22"/>
          <w:lang w:val="en-US"/>
        </w:rPr>
        <w:t xml:space="preserve"> the introduction of renewable energy is the slowest </w:t>
      </w:r>
      <w:r w:rsidR="0096521F" w:rsidRPr="00966F74">
        <w:rPr>
          <w:sz w:val="22"/>
          <w:szCs w:val="22"/>
          <w:lang w:val="en-US"/>
        </w:rPr>
        <w:t xml:space="preserve">in the field of transport </w:t>
      </w:r>
      <w:r w:rsidRPr="00966F74">
        <w:rPr>
          <w:sz w:val="22"/>
          <w:szCs w:val="22"/>
          <w:lang w:val="en-US"/>
        </w:rPr>
        <w:t xml:space="preserve">compared to the sectors of electricity and heat production. In order to effectively attract renewable energy sources to the transport sector, it is recommended to pursue a consistent policy of stimulating this sector, taking into account the example of the EU and individual member states. For example, Sweden has already achieved about 30% of renewable energy consumption </w:t>
      </w:r>
      <w:r w:rsidR="0096521F">
        <w:rPr>
          <w:sz w:val="22"/>
          <w:szCs w:val="22"/>
          <w:lang w:val="en-US"/>
        </w:rPr>
        <w:t>o</w:t>
      </w:r>
      <w:r w:rsidRPr="00966F74">
        <w:rPr>
          <w:sz w:val="22"/>
          <w:szCs w:val="22"/>
          <w:lang w:val="en-US"/>
        </w:rPr>
        <w:t xml:space="preserve">n transport, which is the highest </w:t>
      </w:r>
      <w:r w:rsidR="0096521F">
        <w:rPr>
          <w:sz w:val="22"/>
          <w:szCs w:val="22"/>
          <w:lang w:val="en-US"/>
        </w:rPr>
        <w:t xml:space="preserve">index </w:t>
      </w:r>
      <w:r w:rsidRPr="00966F74">
        <w:rPr>
          <w:sz w:val="22"/>
          <w:szCs w:val="22"/>
          <w:lang w:val="en-US"/>
        </w:rPr>
        <w:t xml:space="preserve">in the EU. The main mechanisms that have contributed to this are the long-established energy and carbon taxes on fossil fuels. </w:t>
      </w:r>
      <w:r w:rsidR="00B475B4">
        <w:rPr>
          <w:sz w:val="22"/>
          <w:szCs w:val="22"/>
          <w:lang w:val="en-US"/>
        </w:rPr>
        <w:t>Taking into consideration</w:t>
      </w:r>
      <w:r w:rsidRPr="00966F74">
        <w:rPr>
          <w:sz w:val="22"/>
          <w:szCs w:val="22"/>
          <w:lang w:val="en-US"/>
        </w:rPr>
        <w:t xml:space="preserve"> the sustainability requirements for biofuels of the RED II Directive, which may become mandatory in Ukraine in the future, it makes sense today to explore the possibilities and introduce support for the production of second-generation biofuels in </w:t>
      </w:r>
      <w:r w:rsidR="00B475B4">
        <w:rPr>
          <w:sz w:val="22"/>
          <w:szCs w:val="22"/>
          <w:lang w:val="en-US"/>
        </w:rPr>
        <w:t>Ukraine</w:t>
      </w:r>
      <w:r w:rsidRPr="00966F74">
        <w:rPr>
          <w:sz w:val="22"/>
          <w:szCs w:val="22"/>
          <w:lang w:val="en-US"/>
        </w:rPr>
        <w:t>.</w:t>
      </w:r>
    </w:p>
    <w:p w14:paraId="7714CD2C" w14:textId="5745A9DC" w:rsidR="00BE2959" w:rsidRPr="006A330C" w:rsidRDefault="00BE2959" w:rsidP="006A3367">
      <w:pPr>
        <w:spacing w:line="276" w:lineRule="auto"/>
        <w:jc w:val="both"/>
        <w:rPr>
          <w:sz w:val="22"/>
          <w:szCs w:val="22"/>
          <w:lang w:val="en-US"/>
        </w:rPr>
      </w:pPr>
      <w:r w:rsidRPr="006A330C">
        <w:rPr>
          <w:sz w:val="22"/>
          <w:szCs w:val="22"/>
          <w:lang w:val="en-US"/>
        </w:rPr>
        <w:t xml:space="preserve">References </w:t>
      </w:r>
      <w:r w:rsidR="00CF11EE" w:rsidRPr="006A330C">
        <w:rPr>
          <w:sz w:val="22"/>
          <w:szCs w:val="22"/>
          <w:lang w:val="en-US"/>
        </w:rPr>
        <w:t>1</w:t>
      </w:r>
      <w:r w:rsidR="000B4281" w:rsidRPr="006A330C">
        <w:rPr>
          <w:sz w:val="22"/>
          <w:szCs w:val="22"/>
          <w:lang w:val="en-US"/>
        </w:rPr>
        <w:t>5</w:t>
      </w:r>
      <w:r w:rsidRPr="006A330C">
        <w:rPr>
          <w:sz w:val="22"/>
          <w:szCs w:val="22"/>
          <w:lang w:val="en-US"/>
        </w:rPr>
        <w:t xml:space="preserve">, table </w:t>
      </w:r>
      <w:r w:rsidR="006A330C" w:rsidRPr="006A330C">
        <w:rPr>
          <w:sz w:val="22"/>
          <w:szCs w:val="22"/>
          <w:lang w:val="uk-UA"/>
        </w:rPr>
        <w:t>3</w:t>
      </w:r>
      <w:r w:rsidR="007B16AA" w:rsidRPr="006A330C">
        <w:rPr>
          <w:sz w:val="22"/>
          <w:szCs w:val="22"/>
          <w:lang w:val="en-US"/>
        </w:rPr>
        <w:t xml:space="preserve">, figures </w:t>
      </w:r>
      <w:r w:rsidR="006A330C" w:rsidRPr="006A330C">
        <w:rPr>
          <w:sz w:val="22"/>
          <w:szCs w:val="22"/>
          <w:lang w:val="uk-UA"/>
        </w:rPr>
        <w:t>4</w:t>
      </w:r>
      <w:r w:rsidRPr="006A330C">
        <w:rPr>
          <w:sz w:val="22"/>
          <w:szCs w:val="22"/>
          <w:lang w:val="en-US"/>
        </w:rPr>
        <w:t>.</w:t>
      </w:r>
    </w:p>
    <w:p w14:paraId="7410147B" w14:textId="77777777" w:rsidR="009E3135" w:rsidRPr="00966F74" w:rsidRDefault="009E3135" w:rsidP="00BE2959">
      <w:pPr>
        <w:spacing w:line="360" w:lineRule="auto"/>
        <w:jc w:val="both"/>
        <w:rPr>
          <w:sz w:val="22"/>
          <w:szCs w:val="22"/>
          <w:highlight w:val="yellow"/>
          <w:lang w:val="en-US"/>
        </w:rPr>
      </w:pPr>
    </w:p>
    <w:p w14:paraId="27EEAA7F" w14:textId="045D9A04" w:rsidR="00C16A95" w:rsidRPr="006A330C" w:rsidRDefault="00BE2959" w:rsidP="00BE2959">
      <w:pPr>
        <w:spacing w:line="360" w:lineRule="auto"/>
        <w:rPr>
          <w:sz w:val="22"/>
          <w:szCs w:val="22"/>
          <w:lang w:val="en-US"/>
        </w:rPr>
      </w:pPr>
      <w:r w:rsidRPr="006A330C">
        <w:rPr>
          <w:b/>
          <w:sz w:val="22"/>
          <w:szCs w:val="22"/>
          <w:lang w:val="en-US"/>
        </w:rPr>
        <w:t>Key words:</w:t>
      </w:r>
      <w:r w:rsidRPr="006A330C">
        <w:rPr>
          <w:sz w:val="22"/>
          <w:szCs w:val="22"/>
          <w:lang w:val="en-US"/>
        </w:rPr>
        <w:t xml:space="preserve"> </w:t>
      </w:r>
      <w:r w:rsidR="00E32C17" w:rsidRPr="006A330C">
        <w:rPr>
          <w:sz w:val="22"/>
          <w:szCs w:val="22"/>
          <w:lang w:val="en-US"/>
        </w:rPr>
        <w:t xml:space="preserve">renewable energy, renewable energy sources, </w:t>
      </w:r>
      <w:r w:rsidR="006D5F14" w:rsidRPr="006A330C">
        <w:rPr>
          <w:sz w:val="22"/>
          <w:szCs w:val="22"/>
          <w:lang w:val="en-US"/>
        </w:rPr>
        <w:t xml:space="preserve">biomass, </w:t>
      </w:r>
      <w:r w:rsidR="007B2227" w:rsidRPr="006A330C">
        <w:rPr>
          <w:sz w:val="22"/>
          <w:szCs w:val="22"/>
          <w:lang w:val="en-US"/>
        </w:rPr>
        <w:t>biofuels,</w:t>
      </w:r>
      <w:r w:rsidR="007B2227">
        <w:rPr>
          <w:sz w:val="22"/>
          <w:szCs w:val="22"/>
          <w:lang w:val="en-US"/>
        </w:rPr>
        <w:t xml:space="preserve"> </w:t>
      </w:r>
      <w:r w:rsidR="00E32C17" w:rsidRPr="006A330C">
        <w:rPr>
          <w:sz w:val="22"/>
          <w:szCs w:val="22"/>
          <w:lang w:val="en-US"/>
        </w:rPr>
        <w:t>biogas</w:t>
      </w:r>
      <w:r w:rsidR="0094174E" w:rsidRPr="006A330C">
        <w:rPr>
          <w:sz w:val="22"/>
          <w:szCs w:val="22"/>
          <w:lang w:val="en-US"/>
        </w:rPr>
        <w:t xml:space="preserve">, </w:t>
      </w:r>
      <w:r w:rsidR="006A330C" w:rsidRPr="006A330C">
        <w:rPr>
          <w:sz w:val="22"/>
          <w:szCs w:val="22"/>
          <w:lang w:val="en-US"/>
        </w:rPr>
        <w:t>bioethanol, biodiesel</w:t>
      </w:r>
      <w:r w:rsidR="00E74856" w:rsidRPr="006A330C">
        <w:rPr>
          <w:sz w:val="22"/>
          <w:szCs w:val="22"/>
          <w:lang w:val="en-US"/>
        </w:rPr>
        <w:t>.</w:t>
      </w:r>
      <w:r w:rsidR="00105C05" w:rsidRPr="006A330C">
        <w:rPr>
          <w:sz w:val="22"/>
          <w:szCs w:val="22"/>
          <w:lang w:val="en-US"/>
        </w:rPr>
        <w:t xml:space="preserve"> </w:t>
      </w:r>
    </w:p>
    <w:p w14:paraId="0A0F8EB3" w14:textId="780B0E9F" w:rsidR="00BE2959" w:rsidRPr="00315EB4" w:rsidRDefault="00BE2959" w:rsidP="00BE2959">
      <w:pPr>
        <w:spacing w:line="360" w:lineRule="auto"/>
        <w:rPr>
          <w:sz w:val="22"/>
          <w:szCs w:val="22"/>
          <w:highlight w:val="yellow"/>
          <w:lang w:val="en-US"/>
        </w:rPr>
      </w:pPr>
    </w:p>
    <w:bookmarkEnd w:id="3"/>
    <w:p w14:paraId="2822F0A2" w14:textId="77777777" w:rsidR="003723C3" w:rsidRPr="00E36592" w:rsidRDefault="003723C3" w:rsidP="006A3367">
      <w:pPr>
        <w:tabs>
          <w:tab w:val="left" w:pos="426"/>
        </w:tabs>
        <w:spacing w:line="276" w:lineRule="auto"/>
        <w:ind w:left="426" w:hanging="426"/>
        <w:jc w:val="both"/>
        <w:rPr>
          <w:color w:val="323232"/>
          <w:lang w:val="en-US"/>
        </w:rPr>
      </w:pPr>
      <w:r w:rsidRPr="00E36592">
        <w:rPr>
          <w:bCs/>
          <w:lang w:val="en-GB" w:eastAsia="en-US"/>
        </w:rPr>
        <w:t xml:space="preserve">1. </w:t>
      </w:r>
      <w:r w:rsidRPr="00E36592">
        <w:rPr>
          <w:bCs/>
          <w:lang w:val="en-GB" w:eastAsia="en-US"/>
        </w:rPr>
        <w:tab/>
      </w:r>
      <w:r w:rsidRPr="00E36592">
        <w:rPr>
          <w:i/>
          <w:lang w:val="en-US"/>
        </w:rPr>
        <w:t>The European Green Deal</w:t>
      </w:r>
      <w:r w:rsidRPr="00E36592">
        <w:rPr>
          <w:lang w:val="en-US"/>
        </w:rPr>
        <w:t>. Communication from the Commission, COM(2019) 640 final, 2019</w:t>
      </w:r>
      <w:r w:rsidRPr="00E36592">
        <w:rPr>
          <w:color w:val="323232"/>
          <w:lang w:val="en-US"/>
        </w:rPr>
        <w:t xml:space="preserve">. </w:t>
      </w:r>
    </w:p>
    <w:p w14:paraId="5F76508A" w14:textId="77777777" w:rsidR="003723C3" w:rsidRPr="00315EB4" w:rsidRDefault="003723C3" w:rsidP="006A3367">
      <w:pPr>
        <w:tabs>
          <w:tab w:val="left" w:pos="426"/>
        </w:tabs>
        <w:spacing w:line="276" w:lineRule="auto"/>
        <w:ind w:left="426" w:hanging="426"/>
        <w:jc w:val="both"/>
        <w:rPr>
          <w:highlight w:val="yellow"/>
          <w:lang w:val="en-US"/>
        </w:rPr>
      </w:pPr>
      <w:r>
        <w:rPr>
          <w:lang w:val="en-US"/>
        </w:rPr>
        <w:tab/>
      </w:r>
      <w:hyperlink r:id="rId29" w:history="1">
        <w:r w:rsidRPr="00AB362B">
          <w:rPr>
            <w:rStyle w:val="ac"/>
            <w:lang w:val="en-US"/>
          </w:rPr>
          <w:t>https://eur-lex.europa.eu/legal-content/EN/TXT/?uri=CELEX%3A52019DC0640&amp;qid=1603445111690</w:t>
        </w:r>
      </w:hyperlink>
    </w:p>
    <w:p w14:paraId="58FCA83B" w14:textId="77777777" w:rsidR="003723C3" w:rsidRPr="00C00BFF" w:rsidRDefault="003723C3" w:rsidP="006A3367">
      <w:pPr>
        <w:tabs>
          <w:tab w:val="left" w:pos="426"/>
        </w:tabs>
        <w:spacing w:line="276" w:lineRule="auto"/>
        <w:ind w:left="426" w:hanging="426"/>
        <w:jc w:val="both"/>
        <w:rPr>
          <w:bCs/>
          <w:lang w:val="uk-UA" w:eastAsia="en-US"/>
        </w:rPr>
      </w:pPr>
      <w:r w:rsidRPr="00D626E4">
        <w:rPr>
          <w:bCs/>
          <w:lang w:val="uk-UA" w:eastAsia="en-US"/>
        </w:rPr>
        <w:t>2</w:t>
      </w:r>
      <w:r w:rsidRPr="00D626E4">
        <w:rPr>
          <w:bCs/>
          <w:lang w:val="en-GB" w:eastAsia="en-US"/>
        </w:rPr>
        <w:t xml:space="preserve">. </w:t>
      </w:r>
      <w:r w:rsidRPr="00D626E4">
        <w:rPr>
          <w:bCs/>
          <w:lang w:val="en-GB" w:eastAsia="en-US"/>
        </w:rPr>
        <w:tab/>
      </w:r>
      <w:r w:rsidRPr="00DD26F3">
        <w:rPr>
          <w:i/>
          <w:lang w:val="en-GB"/>
        </w:rPr>
        <w:t>Directive 2009/28/EС</w:t>
      </w:r>
      <w:r w:rsidRPr="00D626E4">
        <w:rPr>
          <w:lang w:val="en-GB"/>
        </w:rPr>
        <w:t xml:space="preserve"> of the European Parliament and of the Council of 23 April 2009 on the promotion of the use of energy from renewable sources, 2009. Date of end of validity: 30/06/2021.</w:t>
      </w:r>
      <w:r>
        <w:rPr>
          <w:lang w:val="uk-UA"/>
        </w:rPr>
        <w:t xml:space="preserve"> </w:t>
      </w:r>
    </w:p>
    <w:p w14:paraId="6FCEC110" w14:textId="77777777" w:rsidR="003723C3" w:rsidRPr="00315EB4" w:rsidRDefault="00C3754C" w:rsidP="006A3367">
      <w:pPr>
        <w:tabs>
          <w:tab w:val="left" w:pos="426"/>
        </w:tabs>
        <w:spacing w:line="276" w:lineRule="auto"/>
        <w:ind w:left="426"/>
        <w:jc w:val="both"/>
        <w:rPr>
          <w:highlight w:val="yellow"/>
          <w:lang w:val="en-US"/>
        </w:rPr>
      </w:pPr>
      <w:hyperlink r:id="rId30" w:history="1">
        <w:r w:rsidR="003723C3" w:rsidRPr="00AB362B">
          <w:rPr>
            <w:rStyle w:val="ac"/>
            <w:lang w:val="en-US"/>
          </w:rPr>
          <w:t>https://eur-lex.europa.eu/eli/dir/2009/28/oj</w:t>
        </w:r>
      </w:hyperlink>
    </w:p>
    <w:p w14:paraId="69D176A6" w14:textId="77777777" w:rsidR="003723C3" w:rsidRPr="00C00BFF" w:rsidRDefault="003723C3" w:rsidP="006A3367">
      <w:pPr>
        <w:tabs>
          <w:tab w:val="left" w:pos="426"/>
        </w:tabs>
        <w:spacing w:line="276" w:lineRule="auto"/>
        <w:ind w:left="426" w:hanging="426"/>
        <w:jc w:val="both"/>
        <w:rPr>
          <w:lang w:val="uk-UA"/>
        </w:rPr>
      </w:pPr>
      <w:r w:rsidRPr="004E618F">
        <w:rPr>
          <w:bCs/>
          <w:lang w:val="uk-UA" w:eastAsia="en-US"/>
        </w:rPr>
        <w:t>3</w:t>
      </w:r>
      <w:r w:rsidRPr="004E618F">
        <w:rPr>
          <w:bCs/>
          <w:lang w:val="en-GB" w:eastAsia="en-US"/>
        </w:rPr>
        <w:t xml:space="preserve">. </w:t>
      </w:r>
      <w:r w:rsidRPr="004E618F">
        <w:rPr>
          <w:bCs/>
          <w:lang w:val="en-GB" w:eastAsia="en-US"/>
        </w:rPr>
        <w:tab/>
      </w:r>
      <w:r w:rsidRPr="004E618F">
        <w:rPr>
          <w:i/>
          <w:lang w:val="en-US"/>
        </w:rPr>
        <w:t>Directive (EU) 2018/2001</w:t>
      </w:r>
      <w:r w:rsidRPr="004E618F">
        <w:rPr>
          <w:lang w:val="en-US"/>
        </w:rPr>
        <w:t xml:space="preserve"> of the European Parliament and of the Council of 11 December 2018 on the promotion of the use of energy from renewable sources (recast), 2018.</w:t>
      </w:r>
      <w:r>
        <w:rPr>
          <w:lang w:val="uk-UA"/>
        </w:rPr>
        <w:t xml:space="preserve"> </w:t>
      </w:r>
    </w:p>
    <w:p w14:paraId="23C1B79E" w14:textId="77777777" w:rsidR="003723C3" w:rsidRPr="003F0106" w:rsidRDefault="003723C3" w:rsidP="006A3367">
      <w:pPr>
        <w:tabs>
          <w:tab w:val="left" w:pos="426"/>
          <w:tab w:val="left" w:pos="5188"/>
        </w:tabs>
        <w:spacing w:line="276" w:lineRule="auto"/>
        <w:ind w:left="426" w:hanging="426"/>
        <w:jc w:val="both"/>
        <w:rPr>
          <w:lang w:val="uk-UA"/>
        </w:rPr>
      </w:pPr>
      <w:r w:rsidRPr="003F0106">
        <w:rPr>
          <w:lang w:val="uk-UA"/>
        </w:rPr>
        <w:tab/>
      </w:r>
      <w:hyperlink r:id="rId31" w:history="1">
        <w:r w:rsidRPr="003F0106">
          <w:rPr>
            <w:rStyle w:val="ac"/>
          </w:rPr>
          <w:t>https</w:t>
        </w:r>
        <w:r w:rsidRPr="003F0106">
          <w:rPr>
            <w:rStyle w:val="ac"/>
            <w:lang w:val="uk-UA"/>
          </w:rPr>
          <w:t>://</w:t>
        </w:r>
        <w:r w:rsidRPr="003F0106">
          <w:rPr>
            <w:rStyle w:val="ac"/>
          </w:rPr>
          <w:t>eur</w:t>
        </w:r>
        <w:r w:rsidRPr="003F0106">
          <w:rPr>
            <w:rStyle w:val="ac"/>
            <w:lang w:val="uk-UA"/>
          </w:rPr>
          <w:t>-</w:t>
        </w:r>
        <w:r w:rsidRPr="003F0106">
          <w:rPr>
            <w:rStyle w:val="ac"/>
          </w:rPr>
          <w:t>lex</w:t>
        </w:r>
        <w:r w:rsidRPr="003F0106">
          <w:rPr>
            <w:rStyle w:val="ac"/>
            <w:lang w:val="uk-UA"/>
          </w:rPr>
          <w:t>.</w:t>
        </w:r>
        <w:r w:rsidRPr="003F0106">
          <w:rPr>
            <w:rStyle w:val="ac"/>
          </w:rPr>
          <w:t>europa</w:t>
        </w:r>
        <w:r w:rsidRPr="003F0106">
          <w:rPr>
            <w:rStyle w:val="ac"/>
            <w:lang w:val="uk-UA"/>
          </w:rPr>
          <w:t>.</w:t>
        </w:r>
        <w:r w:rsidRPr="003F0106">
          <w:rPr>
            <w:rStyle w:val="ac"/>
          </w:rPr>
          <w:t>eu</w:t>
        </w:r>
        <w:r w:rsidRPr="003F0106">
          <w:rPr>
            <w:rStyle w:val="ac"/>
            <w:lang w:val="uk-UA"/>
          </w:rPr>
          <w:t>/</w:t>
        </w:r>
        <w:r w:rsidRPr="003F0106">
          <w:rPr>
            <w:rStyle w:val="ac"/>
          </w:rPr>
          <w:t>eli</w:t>
        </w:r>
        <w:r w:rsidRPr="003F0106">
          <w:rPr>
            <w:rStyle w:val="ac"/>
            <w:lang w:val="uk-UA"/>
          </w:rPr>
          <w:t>/</w:t>
        </w:r>
        <w:r w:rsidRPr="003F0106">
          <w:rPr>
            <w:rStyle w:val="ac"/>
          </w:rPr>
          <w:t>dir</w:t>
        </w:r>
        <w:r w:rsidRPr="003F0106">
          <w:rPr>
            <w:rStyle w:val="ac"/>
            <w:lang w:val="uk-UA"/>
          </w:rPr>
          <w:t>/2018/2001/2018-12-21</w:t>
        </w:r>
      </w:hyperlink>
    </w:p>
    <w:p w14:paraId="59ADDECC" w14:textId="77777777" w:rsidR="003723C3" w:rsidRPr="00C00BFF" w:rsidRDefault="003723C3" w:rsidP="006A3367">
      <w:pPr>
        <w:tabs>
          <w:tab w:val="left" w:pos="426"/>
        </w:tabs>
        <w:spacing w:line="276" w:lineRule="auto"/>
        <w:ind w:left="426" w:hanging="426"/>
        <w:jc w:val="both"/>
        <w:rPr>
          <w:lang w:val="uk-UA"/>
        </w:rPr>
      </w:pPr>
      <w:r w:rsidRPr="001E3AE5">
        <w:rPr>
          <w:lang w:val="en-US"/>
        </w:rPr>
        <w:t xml:space="preserve">4. </w:t>
      </w:r>
      <w:r w:rsidRPr="001E3AE5">
        <w:rPr>
          <w:lang w:val="en-US"/>
        </w:rPr>
        <w:tab/>
      </w:r>
      <w:r w:rsidRPr="001E3AE5">
        <w:rPr>
          <w:i/>
          <w:lang w:val="en-US"/>
        </w:rPr>
        <w:t>Biofuels</w:t>
      </w:r>
      <w:r w:rsidRPr="001E3AE5">
        <w:rPr>
          <w:lang w:val="uk-UA"/>
        </w:rPr>
        <w:t>.</w:t>
      </w:r>
      <w:r w:rsidRPr="001E3AE5">
        <w:rPr>
          <w:lang w:val="en-US"/>
        </w:rPr>
        <w:t xml:space="preserve"> Bioenergy Europe Statistical Report, 2020.</w:t>
      </w:r>
      <w:r>
        <w:rPr>
          <w:lang w:val="uk-UA"/>
        </w:rPr>
        <w:t xml:space="preserve"> </w:t>
      </w:r>
    </w:p>
    <w:p w14:paraId="7E490D00" w14:textId="77777777" w:rsidR="003723C3" w:rsidRPr="003723C3" w:rsidRDefault="00C3754C" w:rsidP="006A3367">
      <w:pPr>
        <w:tabs>
          <w:tab w:val="left" w:pos="426"/>
        </w:tabs>
        <w:spacing w:line="276" w:lineRule="auto"/>
        <w:ind w:left="426"/>
        <w:jc w:val="both"/>
        <w:rPr>
          <w:highlight w:val="yellow"/>
          <w:lang w:val="uk-UA"/>
        </w:rPr>
      </w:pPr>
      <w:hyperlink r:id="rId32" w:history="1">
        <w:r w:rsidR="003723C3" w:rsidRPr="001E3AE5">
          <w:rPr>
            <w:rStyle w:val="ac"/>
            <w:lang w:val="en-US"/>
          </w:rPr>
          <w:t>https</w:t>
        </w:r>
        <w:r w:rsidR="003723C3" w:rsidRPr="003723C3">
          <w:rPr>
            <w:rStyle w:val="ac"/>
            <w:lang w:val="uk-UA"/>
          </w:rPr>
          <w:t>://</w:t>
        </w:r>
        <w:r w:rsidR="003723C3" w:rsidRPr="001E3AE5">
          <w:rPr>
            <w:rStyle w:val="ac"/>
            <w:lang w:val="en-US"/>
          </w:rPr>
          <w:t>bioenergyeurope</w:t>
        </w:r>
        <w:r w:rsidR="003723C3" w:rsidRPr="003723C3">
          <w:rPr>
            <w:rStyle w:val="ac"/>
            <w:lang w:val="uk-UA"/>
          </w:rPr>
          <w:t>.</w:t>
        </w:r>
        <w:r w:rsidR="003723C3" w:rsidRPr="001E3AE5">
          <w:rPr>
            <w:rStyle w:val="ac"/>
            <w:lang w:val="en-US"/>
          </w:rPr>
          <w:t>org</w:t>
        </w:r>
        <w:r w:rsidR="003723C3" w:rsidRPr="003723C3">
          <w:rPr>
            <w:rStyle w:val="ac"/>
            <w:lang w:val="uk-UA"/>
          </w:rPr>
          <w:t>/29-</w:t>
        </w:r>
        <w:r w:rsidR="003723C3" w:rsidRPr="001E3AE5">
          <w:rPr>
            <w:rStyle w:val="ac"/>
            <w:lang w:val="en-US"/>
          </w:rPr>
          <w:t>statistical</w:t>
        </w:r>
        <w:r w:rsidR="003723C3" w:rsidRPr="003723C3">
          <w:rPr>
            <w:rStyle w:val="ac"/>
            <w:lang w:val="uk-UA"/>
          </w:rPr>
          <w:t>-</w:t>
        </w:r>
        <w:r w:rsidR="003723C3" w:rsidRPr="001E3AE5">
          <w:rPr>
            <w:rStyle w:val="ac"/>
            <w:lang w:val="en-US"/>
          </w:rPr>
          <w:t>reports</w:t>
        </w:r>
        <w:r w:rsidR="003723C3" w:rsidRPr="003723C3">
          <w:rPr>
            <w:rStyle w:val="ac"/>
            <w:lang w:val="uk-UA"/>
          </w:rPr>
          <w:t>/252-</w:t>
        </w:r>
        <w:r w:rsidR="003723C3" w:rsidRPr="001E3AE5">
          <w:rPr>
            <w:rStyle w:val="ac"/>
            <w:lang w:val="en-US"/>
          </w:rPr>
          <w:t>biofuels</w:t>
        </w:r>
        <w:r w:rsidR="003723C3" w:rsidRPr="003723C3">
          <w:rPr>
            <w:rStyle w:val="ac"/>
            <w:lang w:val="uk-UA"/>
          </w:rPr>
          <w:t>-</w:t>
        </w:r>
        <w:r w:rsidR="003723C3" w:rsidRPr="001E3AE5">
          <w:rPr>
            <w:rStyle w:val="ac"/>
            <w:lang w:val="en-US"/>
          </w:rPr>
          <w:t>for</w:t>
        </w:r>
        <w:r w:rsidR="003723C3" w:rsidRPr="003723C3">
          <w:rPr>
            <w:rStyle w:val="ac"/>
            <w:lang w:val="uk-UA"/>
          </w:rPr>
          <w:t>-</w:t>
        </w:r>
        <w:r w:rsidR="003723C3" w:rsidRPr="001E3AE5">
          <w:rPr>
            <w:rStyle w:val="ac"/>
            <w:lang w:val="en-US"/>
          </w:rPr>
          <w:t>transport</w:t>
        </w:r>
        <w:r w:rsidR="003723C3" w:rsidRPr="003723C3">
          <w:rPr>
            <w:rStyle w:val="ac"/>
            <w:lang w:val="uk-UA"/>
          </w:rPr>
          <w:t>.</w:t>
        </w:r>
        <w:r w:rsidR="003723C3" w:rsidRPr="001E3AE5">
          <w:rPr>
            <w:rStyle w:val="ac"/>
            <w:lang w:val="en-US"/>
          </w:rPr>
          <w:t>html</w:t>
        </w:r>
      </w:hyperlink>
    </w:p>
    <w:p w14:paraId="5384B17C" w14:textId="77777777" w:rsidR="003723C3" w:rsidRPr="00C00BFF" w:rsidRDefault="003723C3" w:rsidP="006A3367">
      <w:pPr>
        <w:tabs>
          <w:tab w:val="left" w:pos="426"/>
        </w:tabs>
        <w:spacing w:line="276" w:lineRule="auto"/>
        <w:ind w:left="426" w:hanging="426"/>
        <w:jc w:val="both"/>
        <w:rPr>
          <w:lang w:val="uk-UA"/>
        </w:rPr>
      </w:pPr>
      <w:r w:rsidRPr="001E3AE5">
        <w:rPr>
          <w:lang w:val="uk-UA"/>
        </w:rPr>
        <w:t>5</w:t>
      </w:r>
      <w:r w:rsidRPr="001E3AE5">
        <w:rPr>
          <w:lang w:val="en-GB"/>
        </w:rPr>
        <w:t xml:space="preserve">. </w:t>
      </w:r>
      <w:r w:rsidRPr="001E3AE5">
        <w:rPr>
          <w:lang w:val="en-GB"/>
        </w:rPr>
        <w:tab/>
      </w:r>
      <w:r w:rsidRPr="00644F26">
        <w:rPr>
          <w:i/>
          <w:lang w:val="en-US"/>
        </w:rPr>
        <w:t>Policy Brief</w:t>
      </w:r>
      <w:r w:rsidRPr="001E3AE5">
        <w:rPr>
          <w:lang w:val="en-US"/>
        </w:rPr>
        <w:t>: Biofuels for transport</w:t>
      </w:r>
      <w:r w:rsidRPr="001E3AE5">
        <w:rPr>
          <w:lang w:val="uk-UA"/>
        </w:rPr>
        <w:t>.</w:t>
      </w:r>
      <w:r w:rsidRPr="001E3AE5">
        <w:rPr>
          <w:lang w:val="en-US"/>
        </w:rPr>
        <w:t xml:space="preserve"> Bioenergy Europe Statistical Report, 2020</w:t>
      </w:r>
      <w:r w:rsidRPr="001E3AE5">
        <w:rPr>
          <w:lang w:val="en-GB"/>
        </w:rPr>
        <w:t>.</w:t>
      </w:r>
      <w:r>
        <w:rPr>
          <w:lang w:val="uk-UA"/>
        </w:rPr>
        <w:t xml:space="preserve"> </w:t>
      </w:r>
    </w:p>
    <w:p w14:paraId="2499BEE3" w14:textId="77777777" w:rsidR="003723C3" w:rsidRDefault="003723C3" w:rsidP="006A3367">
      <w:pPr>
        <w:tabs>
          <w:tab w:val="left" w:pos="426"/>
        </w:tabs>
        <w:spacing w:line="276" w:lineRule="auto"/>
        <w:ind w:left="426" w:hanging="426"/>
        <w:jc w:val="both"/>
        <w:rPr>
          <w:lang w:val="en-GB"/>
        </w:rPr>
      </w:pPr>
      <w:r>
        <w:rPr>
          <w:lang w:val="en-GB"/>
        </w:rPr>
        <w:tab/>
      </w:r>
      <w:hyperlink r:id="rId33" w:history="1">
        <w:r w:rsidRPr="00E7713C">
          <w:rPr>
            <w:rStyle w:val="ac"/>
            <w:lang w:val="en-GB"/>
          </w:rPr>
          <w:t>https://bioenergyeurope.org/29-statistical-reports/252-biofuels-for-transport.html</w:t>
        </w:r>
      </w:hyperlink>
    </w:p>
    <w:p w14:paraId="393CBFF7" w14:textId="77777777" w:rsidR="003723C3" w:rsidRPr="00981381" w:rsidRDefault="003723C3" w:rsidP="006A3367">
      <w:pPr>
        <w:tabs>
          <w:tab w:val="left" w:pos="426"/>
        </w:tabs>
        <w:spacing w:line="276" w:lineRule="auto"/>
        <w:ind w:left="426" w:hanging="426"/>
        <w:jc w:val="both"/>
        <w:rPr>
          <w:lang w:val="en-US"/>
        </w:rPr>
      </w:pPr>
      <w:r w:rsidRPr="00981381">
        <w:rPr>
          <w:lang w:val="en-GB"/>
        </w:rPr>
        <w:t xml:space="preserve">6. </w:t>
      </w:r>
      <w:r w:rsidRPr="00981381">
        <w:rPr>
          <w:lang w:val="en-GB"/>
        </w:rPr>
        <w:tab/>
        <w:t>EU Biofuels Annual Report 2019, USDA</w:t>
      </w:r>
      <w:r>
        <w:rPr>
          <w:lang w:val="en-GB"/>
        </w:rPr>
        <w:t xml:space="preserve">, 2019.  </w:t>
      </w:r>
      <w:hyperlink r:id="rId34" w:history="1">
        <w:r w:rsidRPr="00E7713C">
          <w:rPr>
            <w:rStyle w:val="ac"/>
            <w:lang w:val="en-US"/>
          </w:rPr>
          <w:t>https://bit.ly/3lbEjwm</w:t>
        </w:r>
      </w:hyperlink>
    </w:p>
    <w:p w14:paraId="6A9D34BB" w14:textId="77777777" w:rsidR="003723C3" w:rsidRPr="00C00BFF" w:rsidRDefault="003723C3" w:rsidP="006A3367">
      <w:pPr>
        <w:tabs>
          <w:tab w:val="left" w:pos="426"/>
        </w:tabs>
        <w:spacing w:line="276" w:lineRule="auto"/>
        <w:ind w:left="426" w:hanging="426"/>
        <w:jc w:val="both"/>
        <w:rPr>
          <w:lang w:val="uk-UA"/>
        </w:rPr>
      </w:pPr>
      <w:r>
        <w:rPr>
          <w:lang w:val="uk-UA"/>
        </w:rPr>
        <w:t xml:space="preserve">7. </w:t>
      </w:r>
      <w:r>
        <w:rPr>
          <w:lang w:val="uk-UA"/>
        </w:rPr>
        <w:tab/>
      </w:r>
      <w:r w:rsidRPr="006002C9">
        <w:rPr>
          <w:i/>
          <w:lang w:val="en-US"/>
        </w:rPr>
        <w:t>Renewables</w:t>
      </w:r>
      <w:r w:rsidRPr="005F5C26">
        <w:rPr>
          <w:lang w:val="en-US"/>
        </w:rPr>
        <w:t xml:space="preserve"> 2021</w:t>
      </w:r>
      <w:r>
        <w:rPr>
          <w:lang w:val="uk-UA"/>
        </w:rPr>
        <w:t>.</w:t>
      </w:r>
      <w:r w:rsidRPr="005F5C26">
        <w:rPr>
          <w:lang w:val="en-US"/>
        </w:rPr>
        <w:t xml:space="preserve"> Global Status Report. </w:t>
      </w:r>
      <w:r>
        <w:rPr>
          <w:lang w:val="en-US"/>
        </w:rPr>
        <w:t>REN21, 2021.</w:t>
      </w:r>
      <w:r>
        <w:rPr>
          <w:lang w:val="uk-UA"/>
        </w:rPr>
        <w:t xml:space="preserve"> </w:t>
      </w:r>
    </w:p>
    <w:p w14:paraId="2BFCC725" w14:textId="77777777" w:rsidR="003723C3" w:rsidRDefault="003723C3" w:rsidP="006A3367">
      <w:pPr>
        <w:tabs>
          <w:tab w:val="left" w:pos="426"/>
        </w:tabs>
        <w:spacing w:line="276" w:lineRule="auto"/>
        <w:ind w:left="426" w:hanging="426"/>
        <w:jc w:val="both"/>
        <w:rPr>
          <w:lang w:val="uk-UA"/>
        </w:rPr>
      </w:pPr>
      <w:r>
        <w:rPr>
          <w:lang w:val="en-US"/>
        </w:rPr>
        <w:tab/>
      </w:r>
      <w:hyperlink r:id="rId35" w:history="1">
        <w:r w:rsidRPr="005F5C26">
          <w:rPr>
            <w:rStyle w:val="ac"/>
            <w:lang w:val="en-US"/>
          </w:rPr>
          <w:t>https://www.ren21.net/wp-content/uploads/2019/05/GSR2021_Full_Report.pdf</w:t>
        </w:r>
      </w:hyperlink>
    </w:p>
    <w:p w14:paraId="1B70AEC9" w14:textId="77777777" w:rsidR="003723C3" w:rsidRPr="007D2A87" w:rsidRDefault="003723C3" w:rsidP="006A3367">
      <w:pPr>
        <w:tabs>
          <w:tab w:val="left" w:pos="426"/>
        </w:tabs>
        <w:spacing w:line="276" w:lineRule="auto"/>
        <w:ind w:left="426" w:hanging="426"/>
        <w:jc w:val="both"/>
        <w:rPr>
          <w:lang w:val="en-GB"/>
        </w:rPr>
      </w:pPr>
      <w:r>
        <w:rPr>
          <w:lang w:val="uk-UA"/>
        </w:rPr>
        <w:t>8</w:t>
      </w:r>
      <w:r w:rsidRPr="007D2A87">
        <w:rPr>
          <w:lang w:val="en-GB"/>
        </w:rPr>
        <w:t xml:space="preserve">. </w:t>
      </w:r>
      <w:r w:rsidRPr="007D2A87">
        <w:rPr>
          <w:lang w:val="en-GB"/>
        </w:rPr>
        <w:tab/>
      </w:r>
      <w:r w:rsidRPr="007D2A87">
        <w:rPr>
          <w:i/>
          <w:lang w:val="en-US"/>
        </w:rPr>
        <w:t>Sweden’s Integrated</w:t>
      </w:r>
      <w:r w:rsidRPr="007D2A87">
        <w:rPr>
          <w:lang w:val="en-US"/>
        </w:rPr>
        <w:t xml:space="preserve"> National Energy and Climate Plan</w:t>
      </w:r>
      <w:r w:rsidRPr="007D2A87">
        <w:rPr>
          <w:lang w:val="en-GB"/>
        </w:rPr>
        <w:t>, 2020.</w:t>
      </w:r>
    </w:p>
    <w:p w14:paraId="4CEE0E6A" w14:textId="77777777" w:rsidR="003723C3" w:rsidRPr="007D2A87" w:rsidRDefault="003723C3" w:rsidP="006A3367">
      <w:pPr>
        <w:tabs>
          <w:tab w:val="left" w:pos="426"/>
          <w:tab w:val="left" w:pos="7904"/>
        </w:tabs>
        <w:spacing w:line="276" w:lineRule="auto"/>
        <w:ind w:left="426" w:hanging="426"/>
        <w:jc w:val="both"/>
        <w:rPr>
          <w:lang w:val="en-GB"/>
        </w:rPr>
      </w:pPr>
      <w:r w:rsidRPr="007D2A87">
        <w:rPr>
          <w:lang w:val="en-GB"/>
        </w:rPr>
        <w:tab/>
      </w:r>
      <w:hyperlink r:id="rId36" w:history="1">
        <w:r w:rsidRPr="007D2A87">
          <w:rPr>
            <w:rStyle w:val="ac"/>
            <w:lang w:val="en-GB"/>
          </w:rPr>
          <w:t>https://ec.europa.eu/energy/sites/ener/files/documents/se_final_necp_main_en.pdf</w:t>
        </w:r>
      </w:hyperlink>
    </w:p>
    <w:p w14:paraId="63ABD797" w14:textId="22B6CF1E" w:rsidR="003723C3" w:rsidRPr="00201A3A" w:rsidRDefault="003723C3" w:rsidP="006A3367">
      <w:pPr>
        <w:tabs>
          <w:tab w:val="left" w:pos="426"/>
        </w:tabs>
        <w:spacing w:line="276" w:lineRule="auto"/>
        <w:ind w:left="426" w:hanging="426"/>
        <w:jc w:val="both"/>
        <w:rPr>
          <w:lang w:val="en-US"/>
        </w:rPr>
      </w:pPr>
      <w:r w:rsidRPr="00201A3A">
        <w:rPr>
          <w:lang w:val="uk-UA"/>
        </w:rPr>
        <w:t xml:space="preserve">9. </w:t>
      </w:r>
      <w:r w:rsidRPr="00201A3A">
        <w:rPr>
          <w:lang w:val="uk-UA"/>
        </w:rPr>
        <w:tab/>
      </w:r>
      <w:r w:rsidR="00201A3A" w:rsidRPr="00201A3A">
        <w:rPr>
          <w:i/>
          <w:lang w:val="uk-UA"/>
        </w:rPr>
        <w:t xml:space="preserve">Park elektromobiliv v Ukraini. </w:t>
      </w:r>
      <w:r w:rsidR="00201A3A" w:rsidRPr="00201A3A">
        <w:rPr>
          <w:iCs/>
          <w:lang w:val="uk-UA"/>
        </w:rPr>
        <w:t>Federatsiia robotodavtsiv avtomobilnoi haluzi [Electric car park in Ukraine. Federation of Automotive</w:t>
      </w:r>
      <w:r w:rsidR="00201A3A" w:rsidRPr="00201A3A">
        <w:rPr>
          <w:iCs/>
          <w:lang w:val="en-US"/>
        </w:rPr>
        <w:t xml:space="preserve"> Industry</w:t>
      </w:r>
      <w:r w:rsidR="00201A3A" w:rsidRPr="00201A3A">
        <w:rPr>
          <w:iCs/>
          <w:lang w:val="uk-UA"/>
        </w:rPr>
        <w:t xml:space="preserve"> Employers]</w:t>
      </w:r>
      <w:r w:rsidR="00201A3A" w:rsidRPr="00201A3A">
        <w:rPr>
          <w:iCs/>
          <w:lang w:val="en-US"/>
        </w:rPr>
        <w:t xml:space="preserve"> (Ukr.)</w:t>
      </w:r>
    </w:p>
    <w:p w14:paraId="527AA8F3" w14:textId="77777777" w:rsidR="003723C3" w:rsidRPr="00201A3A" w:rsidRDefault="003723C3" w:rsidP="006A3367">
      <w:pPr>
        <w:tabs>
          <w:tab w:val="left" w:pos="426"/>
        </w:tabs>
        <w:spacing w:line="276" w:lineRule="auto"/>
        <w:ind w:left="426" w:hanging="426"/>
        <w:jc w:val="both"/>
        <w:rPr>
          <w:lang w:val="uk-UA"/>
        </w:rPr>
      </w:pPr>
      <w:r w:rsidRPr="00201A3A">
        <w:rPr>
          <w:lang w:val="en-US"/>
        </w:rPr>
        <w:tab/>
      </w:r>
      <w:hyperlink r:id="rId37" w:history="1">
        <w:r w:rsidRPr="00460E34">
          <w:rPr>
            <w:rStyle w:val="ac"/>
            <w:lang w:val="en-US"/>
          </w:rPr>
          <w:t>https://fra.org.ua/uk/st/statistika/infoghrafika/park-elektromobiliv-v-ukrayini</w:t>
        </w:r>
      </w:hyperlink>
    </w:p>
    <w:p w14:paraId="745CCE29" w14:textId="3D513680" w:rsidR="00201A3A" w:rsidRPr="00201A3A" w:rsidRDefault="003723C3" w:rsidP="006A3367">
      <w:pPr>
        <w:tabs>
          <w:tab w:val="left" w:pos="426"/>
        </w:tabs>
        <w:spacing w:line="276" w:lineRule="auto"/>
        <w:ind w:left="426" w:hanging="426"/>
        <w:jc w:val="both"/>
        <w:rPr>
          <w:lang w:val="en-US"/>
        </w:rPr>
      </w:pPr>
      <w:r w:rsidRPr="00201A3A">
        <w:rPr>
          <w:lang w:val="uk-UA"/>
        </w:rPr>
        <w:t>10.</w:t>
      </w:r>
      <w:r w:rsidRPr="00201A3A">
        <w:rPr>
          <w:lang w:val="uk-UA"/>
        </w:rPr>
        <w:tab/>
      </w:r>
      <w:r w:rsidR="00201A3A" w:rsidRPr="00201A3A">
        <w:rPr>
          <w:i/>
          <w:iCs/>
        </w:rPr>
        <w:t>Zvit</w:t>
      </w:r>
      <w:r w:rsidR="00201A3A" w:rsidRPr="00201A3A">
        <w:rPr>
          <w:lang w:val="uk-UA"/>
        </w:rPr>
        <w:t xml:space="preserve"> </w:t>
      </w:r>
      <w:r w:rsidR="00201A3A" w:rsidRPr="00201A3A">
        <w:t>pro</w:t>
      </w:r>
      <w:r w:rsidR="00201A3A" w:rsidRPr="00201A3A">
        <w:rPr>
          <w:lang w:val="uk-UA"/>
        </w:rPr>
        <w:t xml:space="preserve"> </w:t>
      </w:r>
      <w:r w:rsidR="00201A3A" w:rsidRPr="00201A3A">
        <w:t>rezultaty</w:t>
      </w:r>
      <w:r w:rsidR="00201A3A" w:rsidRPr="00201A3A">
        <w:rPr>
          <w:lang w:val="uk-UA"/>
        </w:rPr>
        <w:t xml:space="preserve"> </w:t>
      </w:r>
      <w:r w:rsidR="00201A3A" w:rsidRPr="00201A3A">
        <w:t>stymuliuvannia</w:t>
      </w:r>
      <w:r w:rsidR="00201A3A" w:rsidRPr="00201A3A">
        <w:rPr>
          <w:lang w:val="uk-UA"/>
        </w:rPr>
        <w:t xml:space="preserve"> </w:t>
      </w:r>
      <w:r w:rsidR="00201A3A" w:rsidRPr="00201A3A">
        <w:t>ta</w:t>
      </w:r>
      <w:r w:rsidR="00201A3A" w:rsidRPr="00201A3A">
        <w:rPr>
          <w:lang w:val="uk-UA"/>
        </w:rPr>
        <w:t xml:space="preserve"> </w:t>
      </w:r>
      <w:r w:rsidR="00201A3A" w:rsidRPr="00201A3A">
        <w:t>vykorystannia</w:t>
      </w:r>
      <w:r w:rsidR="00201A3A" w:rsidRPr="00201A3A">
        <w:rPr>
          <w:lang w:val="uk-UA"/>
        </w:rPr>
        <w:t xml:space="preserve"> </w:t>
      </w:r>
      <w:r w:rsidR="00201A3A" w:rsidRPr="00201A3A">
        <w:t>enerhii</w:t>
      </w:r>
      <w:r w:rsidR="00201A3A" w:rsidRPr="00201A3A">
        <w:rPr>
          <w:lang w:val="uk-UA"/>
        </w:rPr>
        <w:t xml:space="preserve">, </w:t>
      </w:r>
      <w:r w:rsidR="00201A3A" w:rsidRPr="00201A3A">
        <w:t>vyroblenoi</w:t>
      </w:r>
      <w:r w:rsidR="00201A3A" w:rsidRPr="00201A3A">
        <w:rPr>
          <w:lang w:val="uk-UA"/>
        </w:rPr>
        <w:t xml:space="preserve"> </w:t>
      </w:r>
      <w:r w:rsidR="00201A3A" w:rsidRPr="00201A3A">
        <w:t>z</w:t>
      </w:r>
      <w:r w:rsidR="00201A3A" w:rsidRPr="00201A3A">
        <w:rPr>
          <w:lang w:val="uk-UA"/>
        </w:rPr>
        <w:t xml:space="preserve"> </w:t>
      </w:r>
      <w:r w:rsidR="00201A3A" w:rsidRPr="00201A3A">
        <w:t>vidnovliuvanykh</w:t>
      </w:r>
      <w:r w:rsidR="00201A3A" w:rsidRPr="00201A3A">
        <w:rPr>
          <w:lang w:val="uk-UA"/>
        </w:rPr>
        <w:t xml:space="preserve"> </w:t>
      </w:r>
      <w:r w:rsidR="00201A3A" w:rsidRPr="00201A3A">
        <w:t>dzherel</w:t>
      </w:r>
      <w:r w:rsidR="00201A3A" w:rsidRPr="00201A3A">
        <w:rPr>
          <w:lang w:val="uk-UA"/>
        </w:rPr>
        <w:t xml:space="preserve">, </w:t>
      </w:r>
      <w:r w:rsidR="00201A3A" w:rsidRPr="00201A3A">
        <w:t>v</w:t>
      </w:r>
      <w:r w:rsidR="00201A3A" w:rsidRPr="00201A3A">
        <w:rPr>
          <w:lang w:val="uk-UA"/>
        </w:rPr>
        <w:t xml:space="preserve"> </w:t>
      </w:r>
      <w:r w:rsidR="00201A3A" w:rsidRPr="00201A3A">
        <w:t>Ukraini</w:t>
      </w:r>
      <w:r w:rsidR="00201A3A" w:rsidRPr="00201A3A">
        <w:rPr>
          <w:lang w:val="uk-UA"/>
        </w:rPr>
        <w:t xml:space="preserve"> </w:t>
      </w:r>
      <w:r w:rsidR="00201A3A" w:rsidRPr="00201A3A">
        <w:t>za</w:t>
      </w:r>
      <w:r w:rsidR="00201A3A" w:rsidRPr="00201A3A">
        <w:rPr>
          <w:lang w:val="uk-UA"/>
        </w:rPr>
        <w:t xml:space="preserve"> 2018-2019 </w:t>
      </w:r>
      <w:r w:rsidR="00201A3A" w:rsidRPr="00201A3A">
        <w:t>rr</w:t>
      </w:r>
      <w:r w:rsidR="00201A3A" w:rsidRPr="00201A3A">
        <w:rPr>
          <w:lang w:val="uk-UA"/>
        </w:rPr>
        <w:t xml:space="preserve">. </w:t>
      </w:r>
      <w:r w:rsidR="00201A3A" w:rsidRPr="00201A3A">
        <w:rPr>
          <w:lang w:val="en-US"/>
        </w:rPr>
        <w:t>[Report on the results of stimulation and use of energy produced from renewable sources in Ukraine for 2018-2019], State Agency on Energy Efficiency and Energy Saving of Ukraine. (Ukr.)</w:t>
      </w:r>
    </w:p>
    <w:p w14:paraId="46B05E19" w14:textId="227EC51E" w:rsidR="003723C3" w:rsidRPr="00201A3A" w:rsidRDefault="00201A3A" w:rsidP="006A3367">
      <w:pPr>
        <w:tabs>
          <w:tab w:val="left" w:pos="426"/>
        </w:tabs>
        <w:spacing w:line="276" w:lineRule="auto"/>
        <w:ind w:left="426"/>
        <w:jc w:val="both"/>
        <w:rPr>
          <w:lang w:val="uk-UA"/>
        </w:rPr>
      </w:pPr>
      <w:r w:rsidRPr="00460E34">
        <w:rPr>
          <w:lang w:val="en-US"/>
        </w:rPr>
        <w:lastRenderedPageBreak/>
        <w:t>https</w:t>
      </w:r>
      <w:r w:rsidRPr="00201A3A">
        <w:rPr>
          <w:lang w:val="uk-UA"/>
        </w:rPr>
        <w:t>://</w:t>
      </w:r>
      <w:r w:rsidRPr="00460E34">
        <w:rPr>
          <w:lang w:val="en-US"/>
        </w:rPr>
        <w:t>saee</w:t>
      </w:r>
      <w:r w:rsidRPr="00201A3A">
        <w:rPr>
          <w:lang w:val="uk-UA"/>
        </w:rPr>
        <w:t>.</w:t>
      </w:r>
      <w:r w:rsidRPr="00460E34">
        <w:rPr>
          <w:lang w:val="en-US"/>
        </w:rPr>
        <w:t>gov</w:t>
      </w:r>
      <w:r w:rsidRPr="00201A3A">
        <w:rPr>
          <w:lang w:val="uk-UA"/>
        </w:rPr>
        <w:t>.</w:t>
      </w:r>
      <w:r w:rsidRPr="00460E34">
        <w:rPr>
          <w:lang w:val="en-US"/>
        </w:rPr>
        <w:t>ua</w:t>
      </w:r>
      <w:r w:rsidRPr="00201A3A">
        <w:rPr>
          <w:lang w:val="uk-UA"/>
        </w:rPr>
        <w:t>/</w:t>
      </w:r>
      <w:r w:rsidRPr="00460E34">
        <w:rPr>
          <w:lang w:val="en-US"/>
        </w:rPr>
        <w:t>sites</w:t>
      </w:r>
      <w:r w:rsidRPr="00201A3A">
        <w:rPr>
          <w:lang w:val="uk-UA"/>
        </w:rPr>
        <w:t>/</w:t>
      </w:r>
      <w:r w:rsidRPr="00460E34">
        <w:rPr>
          <w:lang w:val="en-US"/>
        </w:rPr>
        <w:t>default</w:t>
      </w:r>
      <w:r w:rsidRPr="00201A3A">
        <w:rPr>
          <w:lang w:val="uk-UA"/>
        </w:rPr>
        <w:t>/</w:t>
      </w:r>
      <w:r w:rsidRPr="00460E34">
        <w:rPr>
          <w:lang w:val="en-US"/>
        </w:rPr>
        <w:t>files</w:t>
      </w:r>
      <w:r w:rsidRPr="00201A3A">
        <w:rPr>
          <w:lang w:val="uk-UA"/>
        </w:rPr>
        <w:t>/</w:t>
      </w:r>
      <w:r w:rsidRPr="00460E34">
        <w:rPr>
          <w:lang w:val="en-US"/>
        </w:rPr>
        <w:t>Report</w:t>
      </w:r>
      <w:r w:rsidRPr="00201A3A">
        <w:rPr>
          <w:lang w:val="uk-UA"/>
        </w:rPr>
        <w:t>%20</w:t>
      </w:r>
      <w:r w:rsidRPr="00460E34">
        <w:rPr>
          <w:lang w:val="en-US"/>
        </w:rPr>
        <w:t>to</w:t>
      </w:r>
      <w:r w:rsidRPr="00201A3A">
        <w:rPr>
          <w:lang w:val="uk-UA"/>
        </w:rPr>
        <w:t>%20</w:t>
      </w:r>
      <w:r w:rsidRPr="00460E34">
        <w:rPr>
          <w:lang w:val="en-US"/>
        </w:rPr>
        <w:t>Energy</w:t>
      </w:r>
      <w:r w:rsidRPr="00201A3A">
        <w:rPr>
          <w:lang w:val="uk-UA"/>
        </w:rPr>
        <w:t>%20</w:t>
      </w:r>
      <w:r w:rsidRPr="00460E34">
        <w:rPr>
          <w:lang w:val="en-US"/>
        </w:rPr>
        <w:t>Commun</w:t>
      </w:r>
      <w:r w:rsidRPr="00201A3A">
        <w:rPr>
          <w:lang w:val="uk-UA"/>
        </w:rPr>
        <w:t>%20</w:t>
      </w:r>
      <w:r w:rsidRPr="00460E34">
        <w:rPr>
          <w:lang w:val="en-US"/>
        </w:rPr>
        <w:t>RES</w:t>
      </w:r>
      <w:r w:rsidRPr="00201A3A">
        <w:rPr>
          <w:lang w:val="uk-UA"/>
        </w:rPr>
        <w:t>%20</w:t>
      </w:r>
      <w:r w:rsidRPr="00460E34">
        <w:rPr>
          <w:lang w:val="en-US"/>
        </w:rPr>
        <w:t>UKraine</w:t>
      </w:r>
      <w:r w:rsidRPr="00201A3A">
        <w:rPr>
          <w:lang w:val="uk-UA"/>
        </w:rPr>
        <w:t>%202018-2019%20%28</w:t>
      </w:r>
      <w:r w:rsidRPr="00460E34">
        <w:rPr>
          <w:lang w:val="en-US"/>
        </w:rPr>
        <w:t>final</w:t>
      </w:r>
      <w:r w:rsidRPr="00201A3A">
        <w:rPr>
          <w:lang w:val="uk-UA"/>
        </w:rPr>
        <w:t>%29.</w:t>
      </w:r>
      <w:r w:rsidRPr="00460E34">
        <w:rPr>
          <w:lang w:val="en-US"/>
        </w:rPr>
        <w:t>pdf</w:t>
      </w:r>
    </w:p>
    <w:p w14:paraId="7716CD87" w14:textId="77777777" w:rsidR="003723C3" w:rsidRPr="00201A3A" w:rsidRDefault="003723C3" w:rsidP="006A3367">
      <w:pPr>
        <w:tabs>
          <w:tab w:val="left" w:pos="426"/>
        </w:tabs>
        <w:spacing w:line="276" w:lineRule="auto"/>
        <w:ind w:left="426" w:hanging="426"/>
        <w:jc w:val="both"/>
        <w:rPr>
          <w:lang w:val="en-US"/>
        </w:rPr>
      </w:pPr>
      <w:r w:rsidRPr="00201A3A">
        <w:rPr>
          <w:lang w:val="uk-UA"/>
        </w:rPr>
        <w:t xml:space="preserve">11. </w:t>
      </w:r>
      <w:r w:rsidRPr="00201A3A">
        <w:rPr>
          <w:lang w:val="uk-UA"/>
        </w:rPr>
        <w:tab/>
      </w:r>
      <w:r w:rsidRPr="00201A3A">
        <w:rPr>
          <w:i/>
          <w:lang w:val="en-US"/>
        </w:rPr>
        <w:t>Action plans</w:t>
      </w:r>
      <w:r w:rsidRPr="00201A3A">
        <w:rPr>
          <w:lang w:val="en-US"/>
        </w:rPr>
        <w:t>, reports and statements, Ukraine. Energy Community.</w:t>
      </w:r>
    </w:p>
    <w:p w14:paraId="40D7BC30" w14:textId="77777777" w:rsidR="003723C3" w:rsidRPr="00201A3A" w:rsidRDefault="003723C3" w:rsidP="006A3367">
      <w:pPr>
        <w:tabs>
          <w:tab w:val="left" w:pos="426"/>
        </w:tabs>
        <w:spacing w:line="276" w:lineRule="auto"/>
        <w:ind w:left="426" w:hanging="426"/>
        <w:jc w:val="both"/>
        <w:rPr>
          <w:lang w:val="uk-UA"/>
        </w:rPr>
      </w:pPr>
      <w:r w:rsidRPr="00201A3A">
        <w:rPr>
          <w:lang w:val="uk-UA"/>
        </w:rPr>
        <w:tab/>
      </w:r>
      <w:hyperlink r:id="rId38" w:history="1">
        <w:r w:rsidRPr="00201A3A">
          <w:rPr>
            <w:rStyle w:val="ac"/>
            <w:lang w:val="en-US"/>
          </w:rPr>
          <w:t>https</w:t>
        </w:r>
        <w:r w:rsidRPr="00201A3A">
          <w:rPr>
            <w:rStyle w:val="ac"/>
            <w:lang w:val="uk-UA"/>
          </w:rPr>
          <w:t>://</w:t>
        </w:r>
        <w:r w:rsidRPr="00201A3A">
          <w:rPr>
            <w:rStyle w:val="ac"/>
            <w:lang w:val="en-US"/>
          </w:rPr>
          <w:t>www</w:t>
        </w:r>
        <w:r w:rsidRPr="00201A3A">
          <w:rPr>
            <w:rStyle w:val="ac"/>
            <w:lang w:val="uk-UA"/>
          </w:rPr>
          <w:t>.</w:t>
        </w:r>
        <w:r w:rsidRPr="00201A3A">
          <w:rPr>
            <w:rStyle w:val="ac"/>
            <w:lang w:val="en-US"/>
          </w:rPr>
          <w:t>energy</w:t>
        </w:r>
        <w:r w:rsidRPr="00201A3A">
          <w:rPr>
            <w:rStyle w:val="ac"/>
            <w:lang w:val="uk-UA"/>
          </w:rPr>
          <w:t>-</w:t>
        </w:r>
        <w:r w:rsidRPr="00201A3A">
          <w:rPr>
            <w:rStyle w:val="ac"/>
            <w:lang w:val="en-US"/>
          </w:rPr>
          <w:t>community</w:t>
        </w:r>
        <w:r w:rsidRPr="00201A3A">
          <w:rPr>
            <w:rStyle w:val="ac"/>
            <w:lang w:val="uk-UA"/>
          </w:rPr>
          <w:t>.</w:t>
        </w:r>
        <w:r w:rsidRPr="00201A3A">
          <w:rPr>
            <w:rStyle w:val="ac"/>
            <w:lang w:val="en-US"/>
          </w:rPr>
          <w:t>org</w:t>
        </w:r>
        <w:r w:rsidRPr="00201A3A">
          <w:rPr>
            <w:rStyle w:val="ac"/>
            <w:lang w:val="uk-UA"/>
          </w:rPr>
          <w:t>/</w:t>
        </w:r>
        <w:r w:rsidRPr="00201A3A">
          <w:rPr>
            <w:rStyle w:val="ac"/>
            <w:lang w:val="en-US"/>
          </w:rPr>
          <w:t>implementation</w:t>
        </w:r>
        <w:r w:rsidRPr="00201A3A">
          <w:rPr>
            <w:rStyle w:val="ac"/>
            <w:lang w:val="uk-UA"/>
          </w:rPr>
          <w:t>/</w:t>
        </w:r>
        <w:r w:rsidRPr="00201A3A">
          <w:rPr>
            <w:rStyle w:val="ac"/>
            <w:lang w:val="en-US"/>
          </w:rPr>
          <w:t>Ukraine</w:t>
        </w:r>
        <w:r w:rsidRPr="00201A3A">
          <w:rPr>
            <w:rStyle w:val="ac"/>
            <w:lang w:val="uk-UA"/>
          </w:rPr>
          <w:t>/</w:t>
        </w:r>
        <w:r w:rsidRPr="00201A3A">
          <w:rPr>
            <w:rStyle w:val="ac"/>
            <w:lang w:val="en-US"/>
          </w:rPr>
          <w:t>reporting</w:t>
        </w:r>
        <w:r w:rsidRPr="00201A3A">
          <w:rPr>
            <w:rStyle w:val="ac"/>
            <w:lang w:val="uk-UA"/>
          </w:rPr>
          <w:t>.</w:t>
        </w:r>
        <w:r w:rsidRPr="00201A3A">
          <w:rPr>
            <w:rStyle w:val="ac"/>
            <w:lang w:val="en-US"/>
          </w:rPr>
          <w:t>html</w:t>
        </w:r>
      </w:hyperlink>
    </w:p>
    <w:p w14:paraId="2F5B58ED" w14:textId="63EE0EE2" w:rsidR="003723C3" w:rsidRPr="00201A3A" w:rsidRDefault="003723C3" w:rsidP="006A3367">
      <w:pPr>
        <w:tabs>
          <w:tab w:val="left" w:pos="426"/>
        </w:tabs>
        <w:spacing w:line="276" w:lineRule="auto"/>
        <w:ind w:left="426" w:hanging="426"/>
        <w:jc w:val="both"/>
        <w:rPr>
          <w:lang w:val="uk-UA"/>
        </w:rPr>
      </w:pPr>
      <w:r w:rsidRPr="00201A3A">
        <w:rPr>
          <w:lang w:val="uk-UA"/>
        </w:rPr>
        <w:t xml:space="preserve">12. </w:t>
      </w:r>
      <w:r w:rsidRPr="00201A3A">
        <w:rPr>
          <w:lang w:val="uk-UA"/>
        </w:rPr>
        <w:tab/>
      </w:r>
      <w:r w:rsidR="00201A3A" w:rsidRPr="00201A3A">
        <w:rPr>
          <w:rFonts w:eastAsia="Calibri"/>
          <w:i/>
          <w:lang w:val="en-US" w:eastAsia="en-US"/>
        </w:rPr>
        <w:t>Rozporiadzhennia</w:t>
      </w:r>
      <w:r w:rsidR="00201A3A" w:rsidRPr="00201A3A">
        <w:rPr>
          <w:rFonts w:eastAsia="Calibri"/>
          <w:lang w:val="uk-UA" w:eastAsia="en-US"/>
        </w:rPr>
        <w:t xml:space="preserve"> </w:t>
      </w:r>
      <w:r w:rsidR="00201A3A" w:rsidRPr="00201A3A">
        <w:rPr>
          <w:rFonts w:eastAsia="Calibri"/>
          <w:lang w:val="en-US" w:eastAsia="en-US"/>
        </w:rPr>
        <w:t>KMU</w:t>
      </w:r>
      <w:r w:rsidR="00201A3A" w:rsidRPr="00201A3A">
        <w:rPr>
          <w:rFonts w:eastAsia="Calibri"/>
          <w:lang w:val="uk-UA" w:eastAsia="en-US"/>
        </w:rPr>
        <w:t xml:space="preserve"> № 902-р </w:t>
      </w:r>
      <w:r w:rsidR="00201A3A" w:rsidRPr="00201A3A">
        <w:rPr>
          <w:rFonts w:eastAsia="Calibri"/>
          <w:lang w:val="en-US" w:eastAsia="en-US"/>
        </w:rPr>
        <w:t>vid</w:t>
      </w:r>
      <w:r w:rsidR="00201A3A" w:rsidRPr="00201A3A">
        <w:rPr>
          <w:rFonts w:eastAsia="Calibri"/>
          <w:lang w:val="uk-UA" w:eastAsia="en-US"/>
        </w:rPr>
        <w:t xml:space="preserve"> 01.10.2014 [</w:t>
      </w:r>
      <w:r w:rsidR="00201A3A" w:rsidRPr="00201A3A">
        <w:rPr>
          <w:rFonts w:eastAsia="Calibri"/>
          <w:lang w:val="en-US" w:eastAsia="en-US"/>
        </w:rPr>
        <w:t>Executive Order of</w:t>
      </w:r>
      <w:r w:rsidR="00201A3A" w:rsidRPr="00201A3A">
        <w:rPr>
          <w:rFonts w:eastAsia="Calibri"/>
          <w:lang w:val="uk-UA" w:eastAsia="en-US"/>
        </w:rPr>
        <w:t xml:space="preserve"> </w:t>
      </w:r>
      <w:r w:rsidR="00201A3A" w:rsidRPr="00201A3A">
        <w:rPr>
          <w:rFonts w:eastAsia="Calibri"/>
          <w:lang w:val="en-US" w:eastAsia="en-US"/>
        </w:rPr>
        <w:t>the</w:t>
      </w:r>
      <w:r w:rsidR="00201A3A" w:rsidRPr="00201A3A">
        <w:rPr>
          <w:rFonts w:eastAsia="Calibri"/>
          <w:lang w:val="uk-UA" w:eastAsia="en-US"/>
        </w:rPr>
        <w:t xml:space="preserve"> </w:t>
      </w:r>
      <w:r w:rsidR="00201A3A" w:rsidRPr="00201A3A">
        <w:rPr>
          <w:rFonts w:eastAsia="Calibri"/>
          <w:lang w:val="en-US" w:eastAsia="en-US"/>
        </w:rPr>
        <w:t>Cabinet</w:t>
      </w:r>
      <w:r w:rsidR="00201A3A" w:rsidRPr="00201A3A">
        <w:rPr>
          <w:rFonts w:eastAsia="Calibri"/>
          <w:lang w:val="uk-UA" w:eastAsia="en-US"/>
        </w:rPr>
        <w:t xml:space="preserve"> </w:t>
      </w:r>
      <w:r w:rsidR="00201A3A" w:rsidRPr="00201A3A">
        <w:rPr>
          <w:rFonts w:eastAsia="Calibri"/>
          <w:lang w:val="en-US" w:eastAsia="en-US"/>
        </w:rPr>
        <w:t>of</w:t>
      </w:r>
      <w:r w:rsidR="00201A3A" w:rsidRPr="00201A3A">
        <w:rPr>
          <w:rFonts w:eastAsia="Calibri"/>
          <w:lang w:val="uk-UA" w:eastAsia="en-US"/>
        </w:rPr>
        <w:t xml:space="preserve"> </w:t>
      </w:r>
      <w:r w:rsidR="00201A3A" w:rsidRPr="00201A3A">
        <w:rPr>
          <w:rFonts w:eastAsia="Calibri"/>
          <w:lang w:val="en-US" w:eastAsia="en-US"/>
        </w:rPr>
        <w:t>Ministers</w:t>
      </w:r>
      <w:r w:rsidR="00201A3A" w:rsidRPr="00201A3A">
        <w:rPr>
          <w:rFonts w:eastAsia="Calibri"/>
          <w:lang w:val="uk-UA" w:eastAsia="en-US"/>
        </w:rPr>
        <w:t xml:space="preserve"> </w:t>
      </w:r>
      <w:r w:rsidR="00201A3A" w:rsidRPr="00201A3A">
        <w:rPr>
          <w:rFonts w:eastAsia="Calibri"/>
          <w:lang w:val="en-US" w:eastAsia="en-US"/>
        </w:rPr>
        <w:t>of</w:t>
      </w:r>
      <w:r w:rsidR="00201A3A" w:rsidRPr="00201A3A">
        <w:rPr>
          <w:rFonts w:eastAsia="Calibri"/>
          <w:lang w:val="uk-UA" w:eastAsia="en-US"/>
        </w:rPr>
        <w:t xml:space="preserve"> </w:t>
      </w:r>
      <w:r w:rsidR="00201A3A" w:rsidRPr="00201A3A">
        <w:rPr>
          <w:rFonts w:eastAsia="Calibri"/>
          <w:lang w:val="en-US" w:eastAsia="en-US"/>
        </w:rPr>
        <w:t>Ukraine</w:t>
      </w:r>
      <w:r w:rsidR="00201A3A" w:rsidRPr="00201A3A">
        <w:rPr>
          <w:rFonts w:eastAsia="Calibri"/>
          <w:lang w:val="uk-UA" w:eastAsia="en-US"/>
        </w:rPr>
        <w:t xml:space="preserve"> № 902-р </w:t>
      </w:r>
      <w:r w:rsidR="00201A3A" w:rsidRPr="00201A3A">
        <w:rPr>
          <w:rFonts w:eastAsia="Calibri"/>
          <w:lang w:val="en-US" w:eastAsia="en-US"/>
        </w:rPr>
        <w:t>of</w:t>
      </w:r>
      <w:r w:rsidR="00201A3A" w:rsidRPr="00201A3A">
        <w:rPr>
          <w:rFonts w:eastAsia="Calibri"/>
          <w:lang w:val="uk-UA" w:eastAsia="en-US"/>
        </w:rPr>
        <w:t xml:space="preserve"> 01.10.2014] (</w:t>
      </w:r>
      <w:r w:rsidR="00201A3A" w:rsidRPr="00201A3A">
        <w:rPr>
          <w:rFonts w:eastAsia="Calibri"/>
          <w:lang w:val="en-US" w:eastAsia="en-US"/>
        </w:rPr>
        <w:t>Ukr</w:t>
      </w:r>
      <w:r w:rsidR="00201A3A" w:rsidRPr="00201A3A">
        <w:rPr>
          <w:rFonts w:eastAsia="Calibri"/>
          <w:lang w:val="uk-UA" w:eastAsia="en-US"/>
        </w:rPr>
        <w:t>.)</w:t>
      </w:r>
    </w:p>
    <w:p w14:paraId="5E6F4D9E" w14:textId="77777777" w:rsidR="003723C3" w:rsidRPr="00303A73" w:rsidRDefault="003723C3" w:rsidP="006A3367">
      <w:pPr>
        <w:tabs>
          <w:tab w:val="left" w:pos="426"/>
        </w:tabs>
        <w:spacing w:line="276" w:lineRule="auto"/>
        <w:ind w:left="426" w:hanging="426"/>
        <w:jc w:val="both"/>
        <w:rPr>
          <w:lang w:val="uk-UA"/>
        </w:rPr>
      </w:pPr>
      <w:r w:rsidRPr="00201A3A">
        <w:rPr>
          <w:lang w:val="uk-UA"/>
        </w:rPr>
        <w:tab/>
      </w:r>
      <w:hyperlink r:id="rId39" w:anchor="n10" w:history="1">
        <w:r w:rsidRPr="00303A73">
          <w:rPr>
            <w:rStyle w:val="ac"/>
            <w:lang w:val="en-US"/>
          </w:rPr>
          <w:t>https</w:t>
        </w:r>
        <w:r w:rsidRPr="00303A73">
          <w:rPr>
            <w:rStyle w:val="ac"/>
            <w:lang w:val="uk-UA"/>
          </w:rPr>
          <w:t>://</w:t>
        </w:r>
        <w:r w:rsidRPr="00303A73">
          <w:rPr>
            <w:rStyle w:val="ac"/>
            <w:lang w:val="en-US"/>
          </w:rPr>
          <w:t>zakon</w:t>
        </w:r>
        <w:r w:rsidRPr="00303A73">
          <w:rPr>
            <w:rStyle w:val="ac"/>
            <w:lang w:val="uk-UA"/>
          </w:rPr>
          <w:t>.</w:t>
        </w:r>
        <w:r w:rsidRPr="00303A73">
          <w:rPr>
            <w:rStyle w:val="ac"/>
            <w:lang w:val="en-US"/>
          </w:rPr>
          <w:t>rada</w:t>
        </w:r>
        <w:r w:rsidRPr="00303A73">
          <w:rPr>
            <w:rStyle w:val="ac"/>
            <w:lang w:val="uk-UA"/>
          </w:rPr>
          <w:t>.</w:t>
        </w:r>
        <w:r w:rsidRPr="00303A73">
          <w:rPr>
            <w:rStyle w:val="ac"/>
            <w:lang w:val="en-US"/>
          </w:rPr>
          <w:t>gov</w:t>
        </w:r>
        <w:r w:rsidRPr="00303A73">
          <w:rPr>
            <w:rStyle w:val="ac"/>
            <w:lang w:val="uk-UA"/>
          </w:rPr>
          <w:t>.</w:t>
        </w:r>
        <w:r w:rsidRPr="00303A73">
          <w:rPr>
            <w:rStyle w:val="ac"/>
            <w:lang w:val="en-US"/>
          </w:rPr>
          <w:t>ua</w:t>
        </w:r>
        <w:r w:rsidRPr="00303A73">
          <w:rPr>
            <w:rStyle w:val="ac"/>
            <w:lang w:val="uk-UA"/>
          </w:rPr>
          <w:t>/</w:t>
        </w:r>
        <w:r w:rsidRPr="00303A73">
          <w:rPr>
            <w:rStyle w:val="ac"/>
            <w:lang w:val="en-US"/>
          </w:rPr>
          <w:t>laws</w:t>
        </w:r>
        <w:r w:rsidRPr="00303A73">
          <w:rPr>
            <w:rStyle w:val="ac"/>
            <w:lang w:val="uk-UA"/>
          </w:rPr>
          <w:t>/</w:t>
        </w:r>
        <w:r w:rsidRPr="00303A73">
          <w:rPr>
            <w:rStyle w:val="ac"/>
            <w:lang w:val="en-US"/>
          </w:rPr>
          <w:t>show</w:t>
        </w:r>
        <w:r w:rsidRPr="00303A73">
          <w:rPr>
            <w:rStyle w:val="ac"/>
            <w:lang w:val="uk-UA"/>
          </w:rPr>
          <w:t>/902-2014-%</w:t>
        </w:r>
        <w:r w:rsidRPr="00303A73">
          <w:rPr>
            <w:rStyle w:val="ac"/>
            <w:lang w:val="en-US"/>
          </w:rPr>
          <w:t>D</w:t>
        </w:r>
        <w:r w:rsidRPr="00303A73">
          <w:rPr>
            <w:rStyle w:val="ac"/>
            <w:lang w:val="uk-UA"/>
          </w:rPr>
          <w:t>1%80#</w:t>
        </w:r>
        <w:r w:rsidRPr="00303A73">
          <w:rPr>
            <w:rStyle w:val="ac"/>
            <w:lang w:val="en-US"/>
          </w:rPr>
          <w:t>n</w:t>
        </w:r>
        <w:r w:rsidRPr="00303A73">
          <w:rPr>
            <w:rStyle w:val="ac"/>
            <w:lang w:val="uk-UA"/>
          </w:rPr>
          <w:t>10</w:t>
        </w:r>
      </w:hyperlink>
    </w:p>
    <w:p w14:paraId="00838217" w14:textId="77777777" w:rsidR="00303A73" w:rsidRPr="00303A73" w:rsidRDefault="003723C3" w:rsidP="006A3367">
      <w:pPr>
        <w:tabs>
          <w:tab w:val="left" w:pos="426"/>
        </w:tabs>
        <w:spacing w:line="276" w:lineRule="auto"/>
        <w:ind w:left="426" w:hanging="426"/>
        <w:jc w:val="both"/>
        <w:rPr>
          <w:lang w:val="en-US"/>
        </w:rPr>
      </w:pPr>
      <w:r w:rsidRPr="00303A73">
        <w:rPr>
          <w:lang w:val="uk-UA"/>
        </w:rPr>
        <w:t xml:space="preserve">13. </w:t>
      </w:r>
      <w:r w:rsidRPr="00303A73">
        <w:rPr>
          <w:lang w:val="uk-UA"/>
        </w:rPr>
        <w:tab/>
      </w:r>
      <w:r w:rsidR="00303A73" w:rsidRPr="00303A73">
        <w:rPr>
          <w:i/>
          <w:iCs/>
          <w:lang w:val="en-US"/>
        </w:rPr>
        <w:t>Informatsiia</w:t>
      </w:r>
      <w:r w:rsidR="00303A73" w:rsidRPr="00303A73">
        <w:rPr>
          <w:lang w:val="en-US"/>
        </w:rPr>
        <w:t xml:space="preserve"> shchodo chastky enerhii, vyroblenoi z vidnovliuvanykh dzherel, u kintsevomu enerhospozhyvanni u 2019 rotsi [Information on the share of energy produced from renewable sources in final energy consumption in 2019] State Agency on Energy Efficiency and Energy Saving of Ukraine. (Ukr.)</w:t>
      </w:r>
    </w:p>
    <w:p w14:paraId="6F019836" w14:textId="73D2FEBD" w:rsidR="003723C3" w:rsidRPr="00303A73" w:rsidRDefault="00C3754C" w:rsidP="006A3367">
      <w:pPr>
        <w:tabs>
          <w:tab w:val="left" w:pos="426"/>
        </w:tabs>
        <w:spacing w:line="276" w:lineRule="auto"/>
        <w:ind w:left="426"/>
        <w:jc w:val="both"/>
        <w:rPr>
          <w:lang w:val="uk-UA"/>
        </w:rPr>
      </w:pPr>
      <w:hyperlink r:id="rId40" w:history="1">
        <w:r w:rsidR="00303A73" w:rsidRPr="00303A73">
          <w:rPr>
            <w:rStyle w:val="ac"/>
            <w:iCs/>
            <w:lang w:val="uk-UA"/>
          </w:rPr>
          <w:t>https://saee.gov.ua/sites/default/files/RE_SAEE_2019.pdf</w:t>
        </w:r>
      </w:hyperlink>
    </w:p>
    <w:p w14:paraId="2B394C73" w14:textId="44A120CC" w:rsidR="003723C3" w:rsidRPr="00303A73" w:rsidRDefault="003723C3" w:rsidP="006A3367">
      <w:pPr>
        <w:tabs>
          <w:tab w:val="left" w:pos="426"/>
        </w:tabs>
        <w:spacing w:line="276" w:lineRule="auto"/>
        <w:ind w:left="426" w:hanging="426"/>
        <w:jc w:val="both"/>
        <w:rPr>
          <w:lang w:val="uk-UA"/>
        </w:rPr>
      </w:pPr>
      <w:r w:rsidRPr="00303A73">
        <w:rPr>
          <w:lang w:val="uk-UA"/>
        </w:rPr>
        <w:t xml:space="preserve">14. </w:t>
      </w:r>
      <w:r w:rsidRPr="00303A73">
        <w:rPr>
          <w:lang w:val="uk-UA"/>
        </w:rPr>
        <w:tab/>
      </w:r>
      <w:r w:rsidR="00303A73" w:rsidRPr="00303A73">
        <w:rPr>
          <w:rFonts w:eastAsia="Calibri"/>
          <w:i/>
          <w:lang w:val="en-US" w:eastAsia="en-US"/>
        </w:rPr>
        <w:t>Rozporiadzhennia</w:t>
      </w:r>
      <w:r w:rsidR="00303A73" w:rsidRPr="00303A73">
        <w:rPr>
          <w:rFonts w:eastAsia="Calibri"/>
          <w:lang w:val="uk-UA" w:eastAsia="en-US"/>
        </w:rPr>
        <w:t xml:space="preserve"> </w:t>
      </w:r>
      <w:r w:rsidR="00303A73" w:rsidRPr="00303A73">
        <w:rPr>
          <w:rFonts w:eastAsia="Calibri"/>
          <w:lang w:val="en-US" w:eastAsia="en-US"/>
        </w:rPr>
        <w:t>KMU</w:t>
      </w:r>
      <w:r w:rsidR="00303A73" w:rsidRPr="00303A73">
        <w:rPr>
          <w:rFonts w:eastAsia="Calibri"/>
          <w:lang w:val="uk-UA" w:eastAsia="en-US"/>
        </w:rPr>
        <w:t xml:space="preserve"> № </w:t>
      </w:r>
      <w:r w:rsidR="00303A73" w:rsidRPr="00303A73">
        <w:rPr>
          <w:rFonts w:eastAsia="Calibri"/>
          <w:lang w:val="en-US" w:eastAsia="en-US"/>
        </w:rPr>
        <w:t>430</w:t>
      </w:r>
      <w:r w:rsidR="00303A73" w:rsidRPr="00303A73">
        <w:rPr>
          <w:rFonts w:eastAsia="Calibri"/>
          <w:lang w:val="uk-UA" w:eastAsia="en-US"/>
        </w:rPr>
        <w:t xml:space="preserve">-р </w:t>
      </w:r>
      <w:r w:rsidR="00303A73" w:rsidRPr="00303A73">
        <w:rPr>
          <w:rFonts w:eastAsia="Calibri"/>
          <w:lang w:val="en-US" w:eastAsia="en-US"/>
        </w:rPr>
        <w:t>vid</w:t>
      </w:r>
      <w:r w:rsidR="00303A73" w:rsidRPr="00303A73">
        <w:rPr>
          <w:rFonts w:eastAsia="Calibri"/>
          <w:lang w:val="uk-UA" w:eastAsia="en-US"/>
        </w:rPr>
        <w:t xml:space="preserve"> </w:t>
      </w:r>
      <w:r w:rsidR="00303A73" w:rsidRPr="00303A73">
        <w:rPr>
          <w:rFonts w:eastAsia="Calibri"/>
          <w:lang w:val="en-US" w:eastAsia="en-US"/>
        </w:rPr>
        <w:t>30</w:t>
      </w:r>
      <w:r w:rsidR="00303A73" w:rsidRPr="00303A73">
        <w:rPr>
          <w:rFonts w:eastAsia="Calibri"/>
          <w:lang w:val="uk-UA" w:eastAsia="en-US"/>
        </w:rPr>
        <w:t>.0</w:t>
      </w:r>
      <w:r w:rsidR="00303A73" w:rsidRPr="00303A73">
        <w:rPr>
          <w:rFonts w:eastAsia="Calibri"/>
          <w:lang w:val="en-US" w:eastAsia="en-US"/>
        </w:rPr>
        <w:t>5</w:t>
      </w:r>
      <w:r w:rsidR="00303A73" w:rsidRPr="00303A73">
        <w:rPr>
          <w:rFonts w:eastAsia="Calibri"/>
          <w:lang w:val="uk-UA" w:eastAsia="en-US"/>
        </w:rPr>
        <w:t>.201</w:t>
      </w:r>
      <w:r w:rsidR="00303A73" w:rsidRPr="00303A73">
        <w:rPr>
          <w:rFonts w:eastAsia="Calibri"/>
          <w:lang w:val="en-US" w:eastAsia="en-US"/>
        </w:rPr>
        <w:t>8</w:t>
      </w:r>
      <w:r w:rsidR="00303A73" w:rsidRPr="00303A73">
        <w:rPr>
          <w:rFonts w:eastAsia="Calibri"/>
          <w:lang w:val="uk-UA" w:eastAsia="en-US"/>
        </w:rPr>
        <w:t xml:space="preserve"> [</w:t>
      </w:r>
      <w:r w:rsidR="00303A73" w:rsidRPr="00303A73">
        <w:rPr>
          <w:rFonts w:eastAsia="Calibri"/>
          <w:lang w:val="en-US" w:eastAsia="en-US"/>
        </w:rPr>
        <w:t>Executive Order of</w:t>
      </w:r>
      <w:r w:rsidR="00303A73" w:rsidRPr="00303A73">
        <w:rPr>
          <w:rFonts w:eastAsia="Calibri"/>
          <w:lang w:val="uk-UA" w:eastAsia="en-US"/>
        </w:rPr>
        <w:t xml:space="preserve"> </w:t>
      </w:r>
      <w:r w:rsidR="00303A73" w:rsidRPr="00303A73">
        <w:rPr>
          <w:rFonts w:eastAsia="Calibri"/>
          <w:lang w:val="en-US" w:eastAsia="en-US"/>
        </w:rPr>
        <w:t>the</w:t>
      </w:r>
      <w:r w:rsidR="00303A73" w:rsidRPr="00303A73">
        <w:rPr>
          <w:rFonts w:eastAsia="Calibri"/>
          <w:lang w:val="uk-UA" w:eastAsia="en-US"/>
        </w:rPr>
        <w:t xml:space="preserve"> </w:t>
      </w:r>
      <w:r w:rsidR="00303A73" w:rsidRPr="00303A73">
        <w:rPr>
          <w:rFonts w:eastAsia="Calibri"/>
          <w:lang w:val="en-US" w:eastAsia="en-US"/>
        </w:rPr>
        <w:t>Cabinet</w:t>
      </w:r>
      <w:r w:rsidR="00303A73" w:rsidRPr="00303A73">
        <w:rPr>
          <w:rFonts w:eastAsia="Calibri"/>
          <w:lang w:val="uk-UA" w:eastAsia="en-US"/>
        </w:rPr>
        <w:t xml:space="preserve"> </w:t>
      </w:r>
      <w:r w:rsidR="00303A73" w:rsidRPr="00303A73">
        <w:rPr>
          <w:rFonts w:eastAsia="Calibri"/>
          <w:lang w:val="en-US" w:eastAsia="en-US"/>
        </w:rPr>
        <w:t>of</w:t>
      </w:r>
      <w:r w:rsidR="00303A73" w:rsidRPr="00303A73">
        <w:rPr>
          <w:rFonts w:eastAsia="Calibri"/>
          <w:lang w:val="uk-UA" w:eastAsia="en-US"/>
        </w:rPr>
        <w:t xml:space="preserve"> </w:t>
      </w:r>
      <w:r w:rsidR="00303A73" w:rsidRPr="00303A73">
        <w:rPr>
          <w:rFonts w:eastAsia="Calibri"/>
          <w:lang w:val="en-US" w:eastAsia="en-US"/>
        </w:rPr>
        <w:t>Ministers</w:t>
      </w:r>
      <w:r w:rsidR="00303A73" w:rsidRPr="00303A73">
        <w:rPr>
          <w:rFonts w:eastAsia="Calibri"/>
          <w:lang w:val="uk-UA" w:eastAsia="en-US"/>
        </w:rPr>
        <w:t xml:space="preserve"> </w:t>
      </w:r>
      <w:r w:rsidR="00303A73" w:rsidRPr="00303A73">
        <w:rPr>
          <w:rFonts w:eastAsia="Calibri"/>
          <w:lang w:val="en-US" w:eastAsia="en-US"/>
        </w:rPr>
        <w:t>of</w:t>
      </w:r>
      <w:r w:rsidR="00303A73" w:rsidRPr="00303A73">
        <w:rPr>
          <w:rFonts w:eastAsia="Calibri"/>
          <w:lang w:val="uk-UA" w:eastAsia="en-US"/>
        </w:rPr>
        <w:t xml:space="preserve"> </w:t>
      </w:r>
      <w:r w:rsidR="00303A73" w:rsidRPr="00303A73">
        <w:rPr>
          <w:rFonts w:eastAsia="Calibri"/>
          <w:lang w:val="en-US" w:eastAsia="en-US"/>
        </w:rPr>
        <w:t>Ukraine</w:t>
      </w:r>
      <w:r w:rsidR="00303A73" w:rsidRPr="00303A73">
        <w:rPr>
          <w:rFonts w:eastAsia="Calibri"/>
          <w:lang w:val="uk-UA" w:eastAsia="en-US"/>
        </w:rPr>
        <w:t xml:space="preserve"> № </w:t>
      </w:r>
      <w:r w:rsidR="00303A73" w:rsidRPr="00303A73">
        <w:rPr>
          <w:rFonts w:eastAsia="Calibri"/>
          <w:lang w:val="en-US" w:eastAsia="en-US"/>
        </w:rPr>
        <w:t>430</w:t>
      </w:r>
      <w:r w:rsidR="00303A73" w:rsidRPr="00303A73">
        <w:rPr>
          <w:rFonts w:eastAsia="Calibri"/>
          <w:lang w:val="uk-UA" w:eastAsia="en-US"/>
        </w:rPr>
        <w:t xml:space="preserve">-р </w:t>
      </w:r>
      <w:r w:rsidR="00303A73" w:rsidRPr="00303A73">
        <w:rPr>
          <w:rFonts w:eastAsia="Calibri"/>
          <w:lang w:val="en-US" w:eastAsia="en-US"/>
        </w:rPr>
        <w:t>of</w:t>
      </w:r>
      <w:r w:rsidR="00303A73" w:rsidRPr="00303A73">
        <w:rPr>
          <w:rFonts w:eastAsia="Calibri"/>
          <w:lang w:val="uk-UA" w:eastAsia="en-US"/>
        </w:rPr>
        <w:t xml:space="preserve"> </w:t>
      </w:r>
      <w:r w:rsidR="00303A73" w:rsidRPr="00303A73">
        <w:rPr>
          <w:rFonts w:eastAsia="Calibri"/>
          <w:lang w:val="en-US" w:eastAsia="en-US"/>
        </w:rPr>
        <w:t>30</w:t>
      </w:r>
      <w:r w:rsidR="00303A73" w:rsidRPr="00303A73">
        <w:rPr>
          <w:rFonts w:eastAsia="Calibri"/>
          <w:lang w:val="uk-UA" w:eastAsia="en-US"/>
        </w:rPr>
        <w:t>.</w:t>
      </w:r>
      <w:r w:rsidR="00303A73" w:rsidRPr="00303A73">
        <w:rPr>
          <w:rFonts w:eastAsia="Calibri"/>
          <w:lang w:val="en-US" w:eastAsia="en-US"/>
        </w:rPr>
        <w:t>05</w:t>
      </w:r>
      <w:r w:rsidR="00303A73" w:rsidRPr="00303A73">
        <w:rPr>
          <w:rFonts w:eastAsia="Calibri"/>
          <w:lang w:val="uk-UA" w:eastAsia="en-US"/>
        </w:rPr>
        <w:t>.201</w:t>
      </w:r>
      <w:r w:rsidR="00303A73" w:rsidRPr="00303A73">
        <w:rPr>
          <w:rFonts w:eastAsia="Calibri"/>
          <w:lang w:val="en-US" w:eastAsia="en-US"/>
        </w:rPr>
        <w:t>8</w:t>
      </w:r>
      <w:r w:rsidR="00303A73" w:rsidRPr="00303A73">
        <w:rPr>
          <w:rFonts w:eastAsia="Calibri"/>
          <w:lang w:val="uk-UA" w:eastAsia="en-US"/>
        </w:rPr>
        <w:t>] (</w:t>
      </w:r>
      <w:r w:rsidR="00303A73" w:rsidRPr="00303A73">
        <w:rPr>
          <w:rFonts w:eastAsia="Calibri"/>
          <w:lang w:val="en-US" w:eastAsia="en-US"/>
        </w:rPr>
        <w:t>Ukr</w:t>
      </w:r>
      <w:r w:rsidR="00303A73" w:rsidRPr="00303A73">
        <w:rPr>
          <w:rFonts w:eastAsia="Calibri"/>
          <w:lang w:val="uk-UA" w:eastAsia="en-US"/>
        </w:rPr>
        <w:t>.)</w:t>
      </w:r>
    </w:p>
    <w:p w14:paraId="5036A2EE" w14:textId="77777777" w:rsidR="003723C3" w:rsidRPr="00303A73" w:rsidRDefault="003723C3" w:rsidP="006A3367">
      <w:pPr>
        <w:tabs>
          <w:tab w:val="left" w:pos="426"/>
        </w:tabs>
        <w:spacing w:line="276" w:lineRule="auto"/>
        <w:ind w:left="426" w:hanging="426"/>
        <w:jc w:val="both"/>
        <w:rPr>
          <w:lang w:val="uk-UA"/>
        </w:rPr>
      </w:pPr>
      <w:r w:rsidRPr="00303A73">
        <w:rPr>
          <w:lang w:val="uk-UA"/>
        </w:rPr>
        <w:tab/>
      </w:r>
      <w:hyperlink r:id="rId41" w:anchor="Text" w:history="1">
        <w:r w:rsidRPr="00303A73">
          <w:rPr>
            <w:rStyle w:val="ac"/>
            <w:lang w:val="en-US"/>
          </w:rPr>
          <w:t>https</w:t>
        </w:r>
        <w:r w:rsidRPr="00303A73">
          <w:rPr>
            <w:rStyle w:val="ac"/>
            <w:lang w:val="uk-UA"/>
          </w:rPr>
          <w:t>://</w:t>
        </w:r>
        <w:r w:rsidRPr="00303A73">
          <w:rPr>
            <w:rStyle w:val="ac"/>
            <w:lang w:val="en-US"/>
          </w:rPr>
          <w:t>zakon</w:t>
        </w:r>
        <w:r w:rsidRPr="00303A73">
          <w:rPr>
            <w:rStyle w:val="ac"/>
            <w:lang w:val="uk-UA"/>
          </w:rPr>
          <w:t>.</w:t>
        </w:r>
        <w:r w:rsidRPr="00303A73">
          <w:rPr>
            <w:rStyle w:val="ac"/>
            <w:lang w:val="en-US"/>
          </w:rPr>
          <w:t>rada</w:t>
        </w:r>
        <w:r w:rsidRPr="00303A73">
          <w:rPr>
            <w:rStyle w:val="ac"/>
            <w:lang w:val="uk-UA"/>
          </w:rPr>
          <w:t>.</w:t>
        </w:r>
        <w:r w:rsidRPr="00303A73">
          <w:rPr>
            <w:rStyle w:val="ac"/>
            <w:lang w:val="en-US"/>
          </w:rPr>
          <w:t>gov</w:t>
        </w:r>
        <w:r w:rsidRPr="00303A73">
          <w:rPr>
            <w:rStyle w:val="ac"/>
            <w:lang w:val="uk-UA"/>
          </w:rPr>
          <w:t>.</w:t>
        </w:r>
        <w:r w:rsidRPr="00303A73">
          <w:rPr>
            <w:rStyle w:val="ac"/>
            <w:lang w:val="en-US"/>
          </w:rPr>
          <w:t>ua</w:t>
        </w:r>
        <w:r w:rsidRPr="00303A73">
          <w:rPr>
            <w:rStyle w:val="ac"/>
            <w:lang w:val="uk-UA"/>
          </w:rPr>
          <w:t>/</w:t>
        </w:r>
        <w:r w:rsidRPr="00303A73">
          <w:rPr>
            <w:rStyle w:val="ac"/>
            <w:lang w:val="en-US"/>
          </w:rPr>
          <w:t>laws</w:t>
        </w:r>
        <w:r w:rsidRPr="00303A73">
          <w:rPr>
            <w:rStyle w:val="ac"/>
            <w:lang w:val="uk-UA"/>
          </w:rPr>
          <w:t>/</w:t>
        </w:r>
        <w:r w:rsidRPr="00303A73">
          <w:rPr>
            <w:rStyle w:val="ac"/>
            <w:lang w:val="en-US"/>
          </w:rPr>
          <w:t>show</w:t>
        </w:r>
        <w:r w:rsidRPr="00303A73">
          <w:rPr>
            <w:rStyle w:val="ac"/>
            <w:lang w:val="uk-UA"/>
          </w:rPr>
          <w:t>/430-2018-%</w:t>
        </w:r>
        <w:r w:rsidRPr="00303A73">
          <w:rPr>
            <w:rStyle w:val="ac"/>
            <w:lang w:val="en-US"/>
          </w:rPr>
          <w:t>D</w:t>
        </w:r>
        <w:r w:rsidRPr="00303A73">
          <w:rPr>
            <w:rStyle w:val="ac"/>
            <w:lang w:val="uk-UA"/>
          </w:rPr>
          <w:t>1%80#</w:t>
        </w:r>
        <w:r w:rsidRPr="00303A73">
          <w:rPr>
            <w:rStyle w:val="ac"/>
            <w:lang w:val="en-US"/>
          </w:rPr>
          <w:t>Text</w:t>
        </w:r>
      </w:hyperlink>
    </w:p>
    <w:p w14:paraId="17874344" w14:textId="3BC371F8" w:rsidR="008D7087" w:rsidRPr="008844A5" w:rsidRDefault="003723C3" w:rsidP="006A3367">
      <w:pPr>
        <w:tabs>
          <w:tab w:val="left" w:pos="426"/>
        </w:tabs>
        <w:spacing w:line="276" w:lineRule="auto"/>
        <w:ind w:left="426" w:hanging="426"/>
        <w:jc w:val="both"/>
        <w:rPr>
          <w:rStyle w:val="ac"/>
        </w:rPr>
      </w:pPr>
      <w:r w:rsidRPr="00303A73">
        <w:rPr>
          <w:lang w:val="uk-UA"/>
        </w:rPr>
        <w:t xml:space="preserve">15. </w:t>
      </w:r>
      <w:r w:rsidRPr="00303A73">
        <w:rPr>
          <w:lang w:val="uk-UA"/>
        </w:rPr>
        <w:tab/>
      </w:r>
      <w:r w:rsidR="00303A73" w:rsidRPr="00303A73">
        <w:rPr>
          <w:i/>
          <w:iCs/>
          <w:lang w:val="en-US"/>
        </w:rPr>
        <w:t>Analitychnyi ohliad</w:t>
      </w:r>
      <w:r w:rsidR="00303A73" w:rsidRPr="00303A73">
        <w:rPr>
          <w:lang w:val="en-US"/>
        </w:rPr>
        <w:t xml:space="preserve"> Onovlenoho natsionalno vyznachenoho vnesku Ukrainy do Paryzkoi uhody [Analytical review of the updated nationally determined contribution of Ukraine to the Paris agreement], Ministry of Ecology and Natural Resources of Ukraine, July 2021 (Ukr.) </w:t>
      </w:r>
      <w:hyperlink r:id="rId42" w:history="1">
        <w:r w:rsidR="00303A73" w:rsidRPr="00303A73">
          <w:rPr>
            <w:rStyle w:val="ac"/>
            <w:lang w:val="en-US"/>
          </w:rPr>
          <w:t>https</w:t>
        </w:r>
        <w:r w:rsidR="00303A73" w:rsidRPr="00460E34">
          <w:rPr>
            <w:rStyle w:val="ac"/>
          </w:rPr>
          <w:t>://</w:t>
        </w:r>
        <w:r w:rsidR="00303A73" w:rsidRPr="00303A73">
          <w:rPr>
            <w:rStyle w:val="ac"/>
            <w:lang w:val="en-US"/>
          </w:rPr>
          <w:t>bit</w:t>
        </w:r>
        <w:r w:rsidR="00303A73" w:rsidRPr="00460E34">
          <w:rPr>
            <w:rStyle w:val="ac"/>
          </w:rPr>
          <w:t>.</w:t>
        </w:r>
        <w:r w:rsidR="00303A73" w:rsidRPr="00303A73">
          <w:rPr>
            <w:rStyle w:val="ac"/>
            <w:lang w:val="en-US"/>
          </w:rPr>
          <w:t>ly</w:t>
        </w:r>
        <w:r w:rsidR="00303A73" w:rsidRPr="00460E34">
          <w:rPr>
            <w:rStyle w:val="ac"/>
          </w:rPr>
          <w:t>/3</w:t>
        </w:r>
        <w:r w:rsidR="00303A73" w:rsidRPr="00303A73">
          <w:rPr>
            <w:rStyle w:val="ac"/>
            <w:lang w:val="en-US"/>
          </w:rPr>
          <w:t>hOKZzE</w:t>
        </w:r>
      </w:hyperlink>
    </w:p>
    <w:p w14:paraId="53F7F80E" w14:textId="6AF41D6E" w:rsidR="00AA37A8" w:rsidRDefault="00AA37A8" w:rsidP="006A3367">
      <w:pPr>
        <w:tabs>
          <w:tab w:val="left" w:pos="426"/>
        </w:tabs>
        <w:spacing w:line="276" w:lineRule="auto"/>
        <w:ind w:left="426" w:hanging="426"/>
        <w:jc w:val="both"/>
        <w:rPr>
          <w:lang w:val="uk-UA"/>
        </w:rPr>
      </w:pPr>
    </w:p>
    <w:p w14:paraId="3219F7D4" w14:textId="23C10F30" w:rsidR="00AA37A8" w:rsidRDefault="00AA37A8" w:rsidP="006A3367">
      <w:pPr>
        <w:tabs>
          <w:tab w:val="left" w:pos="426"/>
        </w:tabs>
        <w:spacing w:line="276" w:lineRule="auto"/>
        <w:ind w:left="426" w:hanging="426"/>
        <w:jc w:val="both"/>
        <w:rPr>
          <w:i/>
          <w:sz w:val="22"/>
          <w:szCs w:val="22"/>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AA37A8">
        <w:rPr>
          <w:i/>
          <w:sz w:val="22"/>
          <w:szCs w:val="22"/>
          <w:lang w:val="uk-UA"/>
        </w:rPr>
        <w:t>Отримано</w:t>
      </w:r>
      <w:r>
        <w:rPr>
          <w:i/>
          <w:sz w:val="22"/>
          <w:szCs w:val="22"/>
          <w:lang w:val="uk-UA"/>
        </w:rPr>
        <w:t xml:space="preserve"> 16.11.2021</w:t>
      </w:r>
    </w:p>
    <w:p w14:paraId="40705BCF" w14:textId="15E68D1B" w:rsidR="00AA37A8" w:rsidRPr="008844A5" w:rsidRDefault="00AA37A8" w:rsidP="006A3367">
      <w:pPr>
        <w:tabs>
          <w:tab w:val="left" w:pos="426"/>
        </w:tabs>
        <w:spacing w:line="276" w:lineRule="auto"/>
        <w:ind w:left="426" w:hanging="426"/>
        <w:jc w:val="both"/>
        <w:rPr>
          <w:i/>
          <w:sz w:val="22"/>
          <w:szCs w:val="22"/>
        </w:rPr>
      </w:pP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uk-UA"/>
        </w:rPr>
        <w:tab/>
      </w:r>
      <w:r>
        <w:rPr>
          <w:i/>
          <w:sz w:val="22"/>
          <w:szCs w:val="22"/>
          <w:lang w:val="en-US"/>
        </w:rPr>
        <w:t>Received</w:t>
      </w:r>
      <w:r w:rsidRPr="008844A5">
        <w:rPr>
          <w:i/>
          <w:sz w:val="22"/>
          <w:szCs w:val="22"/>
        </w:rPr>
        <w:t xml:space="preserve"> 16.11.2021</w:t>
      </w:r>
    </w:p>
    <w:p w14:paraId="3B2C3842" w14:textId="77777777" w:rsidR="00BB5194" w:rsidRPr="00190B0A" w:rsidRDefault="00805E61" w:rsidP="006A3367">
      <w:pPr>
        <w:spacing w:line="276" w:lineRule="auto"/>
        <w:jc w:val="both"/>
        <w:rPr>
          <w:b/>
          <w:sz w:val="22"/>
          <w:szCs w:val="22"/>
          <w:lang w:val="uk-UA"/>
        </w:rPr>
      </w:pPr>
      <w:r w:rsidRPr="00315EB4">
        <w:rPr>
          <w:b/>
          <w:sz w:val="22"/>
          <w:szCs w:val="22"/>
          <w:highlight w:val="yellow"/>
          <w:lang w:val="uk-UA"/>
        </w:rPr>
        <w:br w:type="page"/>
      </w:r>
      <w:r w:rsidR="00954571" w:rsidRPr="00190B0A">
        <w:rPr>
          <w:b/>
          <w:sz w:val="22"/>
          <w:szCs w:val="22"/>
          <w:lang w:val="uk-UA"/>
        </w:rPr>
        <w:lastRenderedPageBreak/>
        <w:t>РОС. РЕФЕРАТ</w:t>
      </w:r>
    </w:p>
    <w:p w14:paraId="2A770A6E" w14:textId="77777777" w:rsidR="00BB5194" w:rsidRPr="00190B0A" w:rsidRDefault="00BB5194" w:rsidP="004429BA">
      <w:pPr>
        <w:widowControl w:val="0"/>
        <w:spacing w:line="348" w:lineRule="auto"/>
        <w:jc w:val="both"/>
        <w:rPr>
          <w:sz w:val="22"/>
          <w:szCs w:val="22"/>
        </w:rPr>
      </w:pPr>
      <w:r w:rsidRPr="00190B0A">
        <w:rPr>
          <w:sz w:val="22"/>
          <w:szCs w:val="22"/>
        </w:rPr>
        <w:t>УДК 620.92</w:t>
      </w:r>
    </w:p>
    <w:p w14:paraId="33D7D842" w14:textId="1816631F" w:rsidR="00A23BA0" w:rsidRPr="00315EB4" w:rsidRDefault="005F56E7" w:rsidP="004429BA">
      <w:pPr>
        <w:spacing w:line="348" w:lineRule="auto"/>
        <w:jc w:val="center"/>
        <w:rPr>
          <w:sz w:val="24"/>
          <w:szCs w:val="24"/>
          <w:highlight w:val="yellow"/>
        </w:rPr>
      </w:pPr>
      <w:r w:rsidRPr="005F56E7">
        <w:rPr>
          <w:sz w:val="24"/>
          <w:szCs w:val="24"/>
        </w:rPr>
        <w:t>ТЕКУЩЕЕ СОСТОЯНИЕ И ПЕРСПЕКТИВЫ ИСПОЛЬЗОВАНИЯ ВОЗОБНОВЛЯЕМ</w:t>
      </w:r>
      <w:r>
        <w:rPr>
          <w:sz w:val="24"/>
          <w:szCs w:val="24"/>
        </w:rPr>
        <w:t>ОЙ</w:t>
      </w:r>
      <w:r w:rsidRPr="005F56E7">
        <w:rPr>
          <w:sz w:val="24"/>
          <w:szCs w:val="24"/>
        </w:rPr>
        <w:t xml:space="preserve"> ЭНЕРГИИ В ТРАНСПОРТНОМ СЕКТОРЕ</w:t>
      </w:r>
    </w:p>
    <w:p w14:paraId="7A901B96" w14:textId="77777777" w:rsidR="006A5BC9" w:rsidRPr="00315EB4" w:rsidRDefault="006A5BC9" w:rsidP="004429BA">
      <w:pPr>
        <w:spacing w:line="348" w:lineRule="auto"/>
        <w:jc w:val="center"/>
        <w:rPr>
          <w:sz w:val="22"/>
          <w:szCs w:val="22"/>
          <w:highlight w:val="yellow"/>
          <w:lang w:val="uk-UA"/>
        </w:rPr>
      </w:pPr>
    </w:p>
    <w:p w14:paraId="057F51DE" w14:textId="5CAD75B2" w:rsidR="006A5BC9" w:rsidRPr="00190B0A" w:rsidRDefault="006A5BC9" w:rsidP="004429BA">
      <w:pPr>
        <w:spacing w:line="348" w:lineRule="auto"/>
        <w:outlineLvl w:val="0"/>
        <w:rPr>
          <w:sz w:val="22"/>
          <w:szCs w:val="22"/>
        </w:rPr>
      </w:pPr>
      <w:r w:rsidRPr="00190B0A">
        <w:rPr>
          <w:b/>
          <w:sz w:val="22"/>
          <w:szCs w:val="22"/>
          <w:lang w:val="uk-UA"/>
        </w:rPr>
        <w:t xml:space="preserve">Железная Т.А., </w:t>
      </w:r>
      <w:r w:rsidR="00963274" w:rsidRPr="00190B0A">
        <w:rPr>
          <w:sz w:val="22"/>
          <w:szCs w:val="22"/>
          <w:lang w:val="uk-UA"/>
        </w:rPr>
        <w:t xml:space="preserve">канд. техн. </w:t>
      </w:r>
      <w:r w:rsidR="00DA1404" w:rsidRPr="00190B0A">
        <w:rPr>
          <w:sz w:val="22"/>
          <w:szCs w:val="22"/>
          <w:lang w:val="uk-UA"/>
        </w:rPr>
        <w:t>н</w:t>
      </w:r>
      <w:r w:rsidR="002A5FBE" w:rsidRPr="00190B0A">
        <w:rPr>
          <w:sz w:val="22"/>
          <w:szCs w:val="22"/>
          <w:lang w:val="uk-UA"/>
        </w:rPr>
        <w:t>аук</w:t>
      </w:r>
      <w:r w:rsidR="00190B0A" w:rsidRPr="00190B0A">
        <w:rPr>
          <w:sz w:val="22"/>
          <w:szCs w:val="22"/>
          <w:lang w:val="uk-UA"/>
        </w:rPr>
        <w:t xml:space="preserve">, </w:t>
      </w:r>
      <w:r w:rsidR="00190B0A" w:rsidRPr="00190B0A">
        <w:rPr>
          <w:b/>
          <w:sz w:val="22"/>
          <w:szCs w:val="22"/>
        </w:rPr>
        <w:t>Баштовой А.И.</w:t>
      </w:r>
      <w:r w:rsidR="00190B0A" w:rsidRPr="00190B0A">
        <w:rPr>
          <w:sz w:val="22"/>
          <w:szCs w:val="22"/>
        </w:rPr>
        <w:t xml:space="preserve">, канд. техн. </w:t>
      </w:r>
      <w:r w:rsidR="00190B0A" w:rsidRPr="00190B0A">
        <w:rPr>
          <w:sz w:val="22"/>
          <w:szCs w:val="22"/>
          <w:lang w:val="uk-UA"/>
        </w:rPr>
        <w:t>н</w:t>
      </w:r>
      <w:r w:rsidR="00190B0A" w:rsidRPr="00190B0A">
        <w:rPr>
          <w:sz w:val="22"/>
          <w:szCs w:val="22"/>
        </w:rPr>
        <w:t>аук</w:t>
      </w:r>
    </w:p>
    <w:p w14:paraId="0074553E" w14:textId="54B45820" w:rsidR="006A5BC9" w:rsidRPr="00190B0A" w:rsidRDefault="006A5BC9" w:rsidP="004429BA">
      <w:pPr>
        <w:widowControl w:val="0"/>
        <w:spacing w:line="348" w:lineRule="auto"/>
        <w:jc w:val="both"/>
        <w:rPr>
          <w:sz w:val="22"/>
          <w:szCs w:val="22"/>
        </w:rPr>
      </w:pPr>
      <w:r w:rsidRPr="00190B0A">
        <w:rPr>
          <w:sz w:val="22"/>
          <w:szCs w:val="22"/>
        </w:rPr>
        <w:t xml:space="preserve">Институт технической теплофизики НАН Украины, ул. </w:t>
      </w:r>
      <w:r w:rsidR="007A76E8" w:rsidRPr="00190B0A">
        <w:rPr>
          <w:sz w:val="22"/>
          <w:szCs w:val="22"/>
        </w:rPr>
        <w:t>Марии Капнист</w:t>
      </w:r>
      <w:r w:rsidRPr="00190B0A">
        <w:rPr>
          <w:sz w:val="22"/>
          <w:szCs w:val="22"/>
        </w:rPr>
        <w:t>, 2а, Киев, 03</w:t>
      </w:r>
      <w:r w:rsidR="00B97617" w:rsidRPr="00190B0A">
        <w:rPr>
          <w:sz w:val="22"/>
          <w:szCs w:val="22"/>
          <w:lang w:val="uk-UA"/>
        </w:rPr>
        <w:t>057</w:t>
      </w:r>
      <w:r w:rsidRPr="00190B0A">
        <w:rPr>
          <w:sz w:val="22"/>
          <w:szCs w:val="22"/>
        </w:rPr>
        <w:t>, Украина</w:t>
      </w:r>
    </w:p>
    <w:p w14:paraId="09F6E9B8" w14:textId="77777777" w:rsidR="00D85ED6" w:rsidRPr="00315EB4" w:rsidRDefault="00D85ED6" w:rsidP="004429BA">
      <w:pPr>
        <w:widowControl w:val="0"/>
        <w:spacing w:line="348" w:lineRule="auto"/>
        <w:jc w:val="both"/>
        <w:rPr>
          <w:sz w:val="22"/>
          <w:szCs w:val="22"/>
          <w:highlight w:val="yellow"/>
          <w:lang w:val="uk-UA"/>
        </w:rPr>
      </w:pPr>
    </w:p>
    <w:p w14:paraId="6070E22E" w14:textId="0C660DC4" w:rsidR="00FF6BF2" w:rsidRPr="00315EB4" w:rsidRDefault="004313AE" w:rsidP="004429BA">
      <w:pPr>
        <w:widowControl w:val="0"/>
        <w:spacing w:line="348" w:lineRule="auto"/>
        <w:jc w:val="both"/>
        <w:rPr>
          <w:sz w:val="22"/>
          <w:szCs w:val="22"/>
          <w:highlight w:val="yellow"/>
        </w:rPr>
      </w:pPr>
      <w:r w:rsidRPr="004313AE">
        <w:rPr>
          <w:sz w:val="22"/>
          <w:szCs w:val="22"/>
        </w:rPr>
        <w:t xml:space="preserve">Целью работы является разработка рекомендаций для Украины по ускорению привлечения биотоплива в транспортный сектор. Проанализировано текущее состояние и перспективы внедрения возобновляемой энергии в </w:t>
      </w:r>
      <w:r w:rsidR="00803B44" w:rsidRPr="00803B44">
        <w:rPr>
          <w:sz w:val="22"/>
          <w:szCs w:val="22"/>
        </w:rPr>
        <w:t>секторе</w:t>
      </w:r>
      <w:r w:rsidRPr="004313AE">
        <w:rPr>
          <w:sz w:val="22"/>
          <w:szCs w:val="22"/>
        </w:rPr>
        <w:t xml:space="preserve"> транспорта Евросоюза. Показано, что выполнение амбициозной цели Европейского зеленого курса по достижению климатической нейтральности Европы к 2050 году во многим зависит от успешности сокращение выбросов диоксида углерода на транспорте. Этот сектор по сравнению с другими труднее всего поддается декарбонизации, поэтому в Европейском зеленом курсе ему посвящен</w:t>
      </w:r>
      <w:r w:rsidR="00803B44">
        <w:rPr>
          <w:sz w:val="22"/>
          <w:szCs w:val="22"/>
        </w:rPr>
        <w:t>о</w:t>
      </w:r>
      <w:r w:rsidRPr="004313AE">
        <w:rPr>
          <w:sz w:val="22"/>
          <w:szCs w:val="22"/>
        </w:rPr>
        <w:t xml:space="preserve"> отдельн</w:t>
      </w:r>
      <w:r w:rsidR="00803B44">
        <w:rPr>
          <w:sz w:val="22"/>
          <w:szCs w:val="22"/>
        </w:rPr>
        <w:t>ое</w:t>
      </w:r>
      <w:r w:rsidRPr="004313AE">
        <w:rPr>
          <w:sz w:val="22"/>
          <w:szCs w:val="22"/>
        </w:rPr>
        <w:t xml:space="preserve"> внимание. В Украине аналогичная ситуация</w:t>
      </w:r>
      <w:r w:rsidR="00803B44">
        <w:rPr>
          <w:sz w:val="22"/>
          <w:szCs w:val="22"/>
        </w:rPr>
        <w:t xml:space="preserve"> – </w:t>
      </w:r>
      <w:r w:rsidRPr="004313AE">
        <w:rPr>
          <w:sz w:val="22"/>
          <w:szCs w:val="22"/>
        </w:rPr>
        <w:t xml:space="preserve">в </w:t>
      </w:r>
      <w:r w:rsidR="00803B44">
        <w:rPr>
          <w:sz w:val="22"/>
          <w:szCs w:val="22"/>
        </w:rPr>
        <w:t>отрасли</w:t>
      </w:r>
      <w:r w:rsidRPr="004313AE">
        <w:rPr>
          <w:sz w:val="22"/>
          <w:szCs w:val="22"/>
        </w:rPr>
        <w:t xml:space="preserve"> транспорта </w:t>
      </w:r>
      <w:r w:rsidR="00803B44">
        <w:rPr>
          <w:sz w:val="22"/>
          <w:szCs w:val="22"/>
        </w:rPr>
        <w:t>рост использования</w:t>
      </w:r>
      <w:r w:rsidRPr="004313AE">
        <w:rPr>
          <w:sz w:val="22"/>
          <w:szCs w:val="22"/>
        </w:rPr>
        <w:t xml:space="preserve"> возобновляемой энергии происходит медленнее по сравнению с секторами производства электроэнергии и тепла. Для эффективного привлечения возобновляемых источников энергии в сектор транспорта рекомендуется проведение последовательной политики стимулирования этого сектора с учетом пример</w:t>
      </w:r>
      <w:r w:rsidR="002476D5">
        <w:rPr>
          <w:sz w:val="22"/>
          <w:szCs w:val="22"/>
        </w:rPr>
        <w:t>а</w:t>
      </w:r>
      <w:r w:rsidRPr="004313AE">
        <w:rPr>
          <w:sz w:val="22"/>
          <w:szCs w:val="22"/>
        </w:rPr>
        <w:t xml:space="preserve"> ЕС и отдельных стран-членов. Так, в Швеции уже достигнуто около 30% потребления возобновляемой энергии на транспорте, что является самым высоким показателем в ЕС. Основными механизмами, которые способствовали этому, </w:t>
      </w:r>
      <w:r w:rsidRPr="00D96D60">
        <w:rPr>
          <w:sz w:val="22"/>
          <w:szCs w:val="22"/>
        </w:rPr>
        <w:t>явля</w:t>
      </w:r>
      <w:r w:rsidR="00D96D60" w:rsidRPr="00D96D60">
        <w:rPr>
          <w:sz w:val="22"/>
          <w:szCs w:val="22"/>
        </w:rPr>
        <w:t>ю</w:t>
      </w:r>
      <w:r w:rsidRPr="00D96D60">
        <w:rPr>
          <w:sz w:val="22"/>
          <w:szCs w:val="22"/>
        </w:rPr>
        <w:t>тся</w:t>
      </w:r>
      <w:r w:rsidRPr="004313AE">
        <w:rPr>
          <w:sz w:val="22"/>
          <w:szCs w:val="22"/>
        </w:rPr>
        <w:t xml:space="preserve"> давно </w:t>
      </w:r>
      <w:r w:rsidR="00D96D60">
        <w:rPr>
          <w:sz w:val="22"/>
          <w:szCs w:val="22"/>
        </w:rPr>
        <w:t>введенные</w:t>
      </w:r>
      <w:r w:rsidRPr="004313AE">
        <w:rPr>
          <w:sz w:val="22"/>
          <w:szCs w:val="22"/>
        </w:rPr>
        <w:t xml:space="preserve"> энергетический и углеродный налоги на ископаемые топлива. Учитывая требования устойчивости к биотоплива</w:t>
      </w:r>
      <w:r w:rsidR="00D96D60">
        <w:rPr>
          <w:sz w:val="22"/>
          <w:szCs w:val="22"/>
        </w:rPr>
        <w:t>м</w:t>
      </w:r>
      <w:r w:rsidRPr="004313AE">
        <w:rPr>
          <w:sz w:val="22"/>
          <w:szCs w:val="22"/>
        </w:rPr>
        <w:t xml:space="preserve"> </w:t>
      </w:r>
      <w:r w:rsidR="00CC6923">
        <w:rPr>
          <w:sz w:val="22"/>
          <w:szCs w:val="22"/>
        </w:rPr>
        <w:t xml:space="preserve">европейской </w:t>
      </w:r>
      <w:r w:rsidRPr="004313AE">
        <w:rPr>
          <w:sz w:val="22"/>
          <w:szCs w:val="22"/>
        </w:rPr>
        <w:t>Директивы RED II, которая в будущем может стать обязательн</w:t>
      </w:r>
      <w:r w:rsidR="00D96D60">
        <w:rPr>
          <w:sz w:val="22"/>
          <w:szCs w:val="22"/>
        </w:rPr>
        <w:t>ой</w:t>
      </w:r>
      <w:r w:rsidRPr="004313AE">
        <w:rPr>
          <w:sz w:val="22"/>
          <w:szCs w:val="22"/>
        </w:rPr>
        <w:t xml:space="preserve"> для выполнения в Украине, уже </w:t>
      </w:r>
      <w:r w:rsidR="00D96D60">
        <w:rPr>
          <w:sz w:val="22"/>
          <w:szCs w:val="22"/>
        </w:rPr>
        <w:t xml:space="preserve">сейчас </w:t>
      </w:r>
      <w:r w:rsidRPr="004313AE">
        <w:rPr>
          <w:sz w:val="22"/>
          <w:szCs w:val="22"/>
        </w:rPr>
        <w:t xml:space="preserve">есть смысл исследовать возможности и вводить поддержку производства биотоплива второго поколения в </w:t>
      </w:r>
      <w:r w:rsidR="00B475B4">
        <w:rPr>
          <w:sz w:val="22"/>
          <w:szCs w:val="22"/>
        </w:rPr>
        <w:t>Украине</w:t>
      </w:r>
      <w:r w:rsidRPr="004313AE">
        <w:rPr>
          <w:sz w:val="22"/>
          <w:szCs w:val="22"/>
        </w:rPr>
        <w:t>.</w:t>
      </w:r>
    </w:p>
    <w:p w14:paraId="65A1D5BD" w14:textId="3126E3DF" w:rsidR="008B5874" w:rsidRPr="007B2227" w:rsidRDefault="008B5874" w:rsidP="004429BA">
      <w:pPr>
        <w:spacing w:line="348" w:lineRule="auto"/>
        <w:rPr>
          <w:sz w:val="22"/>
          <w:szCs w:val="22"/>
        </w:rPr>
      </w:pPr>
      <w:r w:rsidRPr="007B2227">
        <w:rPr>
          <w:sz w:val="22"/>
          <w:szCs w:val="22"/>
          <w:lang w:val="uk-UA"/>
        </w:rPr>
        <w:t>Библ. 1</w:t>
      </w:r>
      <w:r w:rsidR="00A22D05" w:rsidRPr="007B2227">
        <w:rPr>
          <w:sz w:val="22"/>
          <w:szCs w:val="22"/>
          <w:lang w:val="uk-UA"/>
        </w:rPr>
        <w:t>5</w:t>
      </w:r>
      <w:r w:rsidRPr="007B2227">
        <w:rPr>
          <w:sz w:val="22"/>
          <w:szCs w:val="22"/>
          <w:lang w:val="uk-UA"/>
        </w:rPr>
        <w:t xml:space="preserve">, табл. </w:t>
      </w:r>
      <w:r w:rsidR="007B2227" w:rsidRPr="007B2227">
        <w:rPr>
          <w:sz w:val="22"/>
          <w:szCs w:val="22"/>
          <w:lang w:val="uk-UA"/>
        </w:rPr>
        <w:t>3</w:t>
      </w:r>
      <w:r w:rsidR="007B16AA" w:rsidRPr="007B2227">
        <w:rPr>
          <w:sz w:val="22"/>
          <w:szCs w:val="22"/>
          <w:lang w:val="uk-UA"/>
        </w:rPr>
        <w:t xml:space="preserve">, рис. </w:t>
      </w:r>
      <w:r w:rsidR="007B2227" w:rsidRPr="007B2227">
        <w:rPr>
          <w:sz w:val="22"/>
          <w:szCs w:val="22"/>
          <w:lang w:val="uk-UA"/>
        </w:rPr>
        <w:t>4</w:t>
      </w:r>
      <w:r w:rsidR="00513421" w:rsidRPr="007B2227">
        <w:rPr>
          <w:sz w:val="22"/>
          <w:szCs w:val="22"/>
        </w:rPr>
        <w:t>.</w:t>
      </w:r>
    </w:p>
    <w:p w14:paraId="0C919FB6" w14:textId="77777777" w:rsidR="000926D2" w:rsidRPr="00315EB4" w:rsidRDefault="000926D2" w:rsidP="004429BA">
      <w:pPr>
        <w:spacing w:line="348" w:lineRule="auto"/>
        <w:jc w:val="both"/>
        <w:rPr>
          <w:b/>
          <w:sz w:val="22"/>
          <w:szCs w:val="22"/>
          <w:highlight w:val="yellow"/>
          <w:lang w:val="uk-UA"/>
        </w:rPr>
      </w:pPr>
    </w:p>
    <w:p w14:paraId="49A8B9BF" w14:textId="639A2A3D" w:rsidR="00DA5EF7" w:rsidRPr="00EA5A96" w:rsidRDefault="00DA5EF7" w:rsidP="004429BA">
      <w:pPr>
        <w:spacing w:line="348" w:lineRule="auto"/>
        <w:jc w:val="both"/>
        <w:rPr>
          <w:sz w:val="22"/>
          <w:szCs w:val="22"/>
        </w:rPr>
      </w:pPr>
      <w:r w:rsidRPr="00EA5A96">
        <w:rPr>
          <w:b/>
          <w:sz w:val="22"/>
          <w:szCs w:val="22"/>
        </w:rPr>
        <w:t>Ключевые слова:</w:t>
      </w:r>
      <w:r w:rsidR="00586D5D" w:rsidRPr="00EA5A96">
        <w:rPr>
          <w:sz w:val="22"/>
          <w:szCs w:val="22"/>
        </w:rPr>
        <w:t xml:space="preserve"> </w:t>
      </w:r>
      <w:r w:rsidR="00E32C17" w:rsidRPr="00EA5A96">
        <w:rPr>
          <w:sz w:val="22"/>
          <w:szCs w:val="22"/>
        </w:rPr>
        <w:t>возобновляемая энергетика, возобновляемые источники энергии</w:t>
      </w:r>
      <w:r w:rsidR="00A22D05" w:rsidRPr="00EA5A96">
        <w:rPr>
          <w:sz w:val="22"/>
          <w:szCs w:val="22"/>
        </w:rPr>
        <w:t xml:space="preserve">, </w:t>
      </w:r>
      <w:r w:rsidRPr="00EA5A96">
        <w:rPr>
          <w:sz w:val="22"/>
          <w:szCs w:val="22"/>
        </w:rPr>
        <w:t xml:space="preserve">биомасса, </w:t>
      </w:r>
      <w:r w:rsidR="00EA5A96" w:rsidRPr="00EA5A96">
        <w:rPr>
          <w:sz w:val="22"/>
          <w:szCs w:val="22"/>
        </w:rPr>
        <w:t xml:space="preserve">биотоплива, </w:t>
      </w:r>
      <w:r w:rsidR="00E32C17" w:rsidRPr="00EA5A96">
        <w:rPr>
          <w:sz w:val="22"/>
          <w:szCs w:val="22"/>
        </w:rPr>
        <w:t>биогаз</w:t>
      </w:r>
      <w:r w:rsidR="00714B47" w:rsidRPr="00EA5A96">
        <w:rPr>
          <w:sz w:val="22"/>
          <w:szCs w:val="22"/>
        </w:rPr>
        <w:t xml:space="preserve">, </w:t>
      </w:r>
      <w:r w:rsidR="00EA5A96" w:rsidRPr="00EA5A96">
        <w:rPr>
          <w:sz w:val="22"/>
          <w:szCs w:val="22"/>
        </w:rPr>
        <w:t>биоэтанол, биодизель</w:t>
      </w:r>
      <w:r w:rsidR="00714B47" w:rsidRPr="00EA5A96">
        <w:rPr>
          <w:sz w:val="22"/>
          <w:szCs w:val="22"/>
        </w:rPr>
        <w:t>.</w:t>
      </w:r>
    </w:p>
    <w:p w14:paraId="68EAA9CE" w14:textId="77777777" w:rsidR="00CC5B47" w:rsidRPr="00315EB4" w:rsidRDefault="00CC5B47" w:rsidP="004429BA">
      <w:pPr>
        <w:spacing w:line="348" w:lineRule="auto"/>
        <w:jc w:val="both"/>
        <w:rPr>
          <w:sz w:val="22"/>
          <w:szCs w:val="22"/>
          <w:highlight w:val="yellow"/>
          <w:lang w:val="uk-UA"/>
        </w:rPr>
      </w:pPr>
    </w:p>
    <w:p w14:paraId="0D812060" w14:textId="77777777" w:rsidR="00BB5194" w:rsidRPr="00EA5A96" w:rsidRDefault="00BB5194" w:rsidP="004429BA">
      <w:pPr>
        <w:spacing w:line="348" w:lineRule="auto"/>
        <w:jc w:val="center"/>
        <w:rPr>
          <w:sz w:val="22"/>
          <w:szCs w:val="22"/>
          <w:lang w:val="uk-UA"/>
        </w:rPr>
      </w:pPr>
      <w:r w:rsidRPr="00EA5A96">
        <w:rPr>
          <w:sz w:val="22"/>
          <w:szCs w:val="22"/>
          <w:lang w:val="uk-UA"/>
        </w:rPr>
        <w:t>ЛИТЕРАТУРА</w:t>
      </w:r>
    </w:p>
    <w:p w14:paraId="1421741B" w14:textId="77777777" w:rsidR="001F7920" w:rsidRPr="00E36592" w:rsidRDefault="001F7920" w:rsidP="001F7920">
      <w:pPr>
        <w:tabs>
          <w:tab w:val="left" w:pos="426"/>
        </w:tabs>
        <w:spacing w:line="360" w:lineRule="auto"/>
        <w:ind w:left="426" w:hanging="426"/>
        <w:jc w:val="both"/>
        <w:rPr>
          <w:color w:val="323232"/>
          <w:lang w:val="en-US"/>
        </w:rPr>
      </w:pPr>
      <w:r w:rsidRPr="00E36592">
        <w:rPr>
          <w:bCs/>
          <w:lang w:val="en-GB" w:eastAsia="en-US"/>
        </w:rPr>
        <w:t xml:space="preserve">1. </w:t>
      </w:r>
      <w:r w:rsidRPr="00E36592">
        <w:rPr>
          <w:bCs/>
          <w:lang w:val="en-GB" w:eastAsia="en-US"/>
        </w:rPr>
        <w:tab/>
      </w:r>
      <w:r w:rsidRPr="00E36592">
        <w:rPr>
          <w:i/>
          <w:lang w:val="en-US"/>
        </w:rPr>
        <w:t>The European Green Deal</w:t>
      </w:r>
      <w:r w:rsidRPr="00E36592">
        <w:rPr>
          <w:lang w:val="en-US"/>
        </w:rPr>
        <w:t>. Communication from the Commission, COM(2019) 640 final, 2019</w:t>
      </w:r>
      <w:r w:rsidRPr="00E36592">
        <w:rPr>
          <w:color w:val="323232"/>
          <w:lang w:val="en-US"/>
        </w:rPr>
        <w:t xml:space="preserve">. </w:t>
      </w:r>
    </w:p>
    <w:p w14:paraId="626FDF16" w14:textId="77777777" w:rsidR="001F7920" w:rsidRPr="00315EB4" w:rsidRDefault="001F7920" w:rsidP="001F7920">
      <w:pPr>
        <w:tabs>
          <w:tab w:val="left" w:pos="426"/>
        </w:tabs>
        <w:spacing w:line="360" w:lineRule="auto"/>
        <w:ind w:left="426" w:hanging="426"/>
        <w:jc w:val="both"/>
        <w:rPr>
          <w:highlight w:val="yellow"/>
          <w:lang w:val="en-US"/>
        </w:rPr>
      </w:pPr>
      <w:r>
        <w:rPr>
          <w:lang w:val="en-US"/>
        </w:rPr>
        <w:tab/>
      </w:r>
      <w:hyperlink r:id="rId43" w:history="1">
        <w:r w:rsidRPr="00AB362B">
          <w:rPr>
            <w:rStyle w:val="ac"/>
            <w:lang w:val="en-US"/>
          </w:rPr>
          <w:t>https://eur-lex.europa.eu/legal-content/EN/TXT/?uri=CELEX%3A52019DC0640&amp;qid=1603445111690</w:t>
        </w:r>
      </w:hyperlink>
    </w:p>
    <w:p w14:paraId="78CE406E" w14:textId="77777777" w:rsidR="001F7920" w:rsidRPr="00C00BFF" w:rsidRDefault="001F7920" w:rsidP="001F7920">
      <w:pPr>
        <w:tabs>
          <w:tab w:val="left" w:pos="426"/>
        </w:tabs>
        <w:spacing w:line="360" w:lineRule="auto"/>
        <w:ind w:left="426" w:hanging="426"/>
        <w:jc w:val="both"/>
        <w:rPr>
          <w:bCs/>
          <w:lang w:val="uk-UA" w:eastAsia="en-US"/>
        </w:rPr>
      </w:pPr>
      <w:r w:rsidRPr="00D626E4">
        <w:rPr>
          <w:bCs/>
          <w:lang w:val="uk-UA" w:eastAsia="en-US"/>
        </w:rPr>
        <w:t>2</w:t>
      </w:r>
      <w:r w:rsidRPr="00D626E4">
        <w:rPr>
          <w:bCs/>
          <w:lang w:val="en-GB" w:eastAsia="en-US"/>
        </w:rPr>
        <w:t xml:space="preserve">. </w:t>
      </w:r>
      <w:r w:rsidRPr="00D626E4">
        <w:rPr>
          <w:bCs/>
          <w:lang w:val="en-GB" w:eastAsia="en-US"/>
        </w:rPr>
        <w:tab/>
      </w:r>
      <w:r w:rsidRPr="00DD26F3">
        <w:rPr>
          <w:i/>
          <w:lang w:val="en-GB"/>
        </w:rPr>
        <w:t>Directive 2009/28/EС</w:t>
      </w:r>
      <w:r w:rsidRPr="00D626E4">
        <w:rPr>
          <w:lang w:val="en-GB"/>
        </w:rPr>
        <w:t xml:space="preserve"> of the European Parliament and of the Council of 23 April 2009 on the promotion of the use of energy from renewable sources, 2009. Date of end of validity: 30/06/2021.</w:t>
      </w:r>
      <w:r>
        <w:rPr>
          <w:lang w:val="uk-UA"/>
        </w:rPr>
        <w:t xml:space="preserve"> </w:t>
      </w:r>
    </w:p>
    <w:p w14:paraId="1B8ABC51" w14:textId="77777777" w:rsidR="001F7920" w:rsidRPr="00315EB4" w:rsidRDefault="00C3754C" w:rsidP="001F7920">
      <w:pPr>
        <w:tabs>
          <w:tab w:val="left" w:pos="426"/>
        </w:tabs>
        <w:spacing w:line="360" w:lineRule="auto"/>
        <w:ind w:left="426"/>
        <w:jc w:val="both"/>
        <w:rPr>
          <w:highlight w:val="yellow"/>
          <w:lang w:val="en-US"/>
        </w:rPr>
      </w:pPr>
      <w:hyperlink r:id="rId44" w:history="1">
        <w:r w:rsidR="001F7920" w:rsidRPr="00AB362B">
          <w:rPr>
            <w:rStyle w:val="ac"/>
            <w:lang w:val="en-US"/>
          </w:rPr>
          <w:t>https://eur-lex.europa.eu/eli/dir/2009/28/oj</w:t>
        </w:r>
      </w:hyperlink>
    </w:p>
    <w:p w14:paraId="346728BF" w14:textId="77777777" w:rsidR="001F7920" w:rsidRPr="00C00BFF" w:rsidRDefault="001F7920" w:rsidP="001F7920">
      <w:pPr>
        <w:tabs>
          <w:tab w:val="left" w:pos="426"/>
        </w:tabs>
        <w:spacing w:line="360" w:lineRule="auto"/>
        <w:ind w:left="426" w:hanging="426"/>
        <w:jc w:val="both"/>
        <w:rPr>
          <w:lang w:val="uk-UA"/>
        </w:rPr>
      </w:pPr>
      <w:r w:rsidRPr="004E618F">
        <w:rPr>
          <w:bCs/>
          <w:lang w:val="uk-UA" w:eastAsia="en-US"/>
        </w:rPr>
        <w:t>3</w:t>
      </w:r>
      <w:r w:rsidRPr="004E618F">
        <w:rPr>
          <w:bCs/>
          <w:lang w:val="en-GB" w:eastAsia="en-US"/>
        </w:rPr>
        <w:t xml:space="preserve">. </w:t>
      </w:r>
      <w:r w:rsidRPr="004E618F">
        <w:rPr>
          <w:bCs/>
          <w:lang w:val="en-GB" w:eastAsia="en-US"/>
        </w:rPr>
        <w:tab/>
      </w:r>
      <w:r w:rsidRPr="004E618F">
        <w:rPr>
          <w:i/>
          <w:lang w:val="en-US"/>
        </w:rPr>
        <w:t>Directive (EU) 2018/2001</w:t>
      </w:r>
      <w:r w:rsidRPr="004E618F">
        <w:rPr>
          <w:lang w:val="en-US"/>
        </w:rPr>
        <w:t xml:space="preserve"> of the European Parliament and of the Council of 11 December 2018 on the promotion of the use of energy from renewable sources (recast), 2018.</w:t>
      </w:r>
      <w:r>
        <w:rPr>
          <w:lang w:val="uk-UA"/>
        </w:rPr>
        <w:t xml:space="preserve"> </w:t>
      </w:r>
    </w:p>
    <w:p w14:paraId="7492FF80" w14:textId="77777777" w:rsidR="001F7920" w:rsidRPr="003F0106" w:rsidRDefault="001F7920" w:rsidP="001F7920">
      <w:pPr>
        <w:tabs>
          <w:tab w:val="left" w:pos="426"/>
          <w:tab w:val="left" w:pos="5188"/>
        </w:tabs>
        <w:spacing w:line="360" w:lineRule="auto"/>
        <w:ind w:left="426" w:hanging="426"/>
        <w:jc w:val="both"/>
        <w:rPr>
          <w:lang w:val="uk-UA"/>
        </w:rPr>
      </w:pPr>
      <w:r w:rsidRPr="003F0106">
        <w:rPr>
          <w:lang w:val="uk-UA"/>
        </w:rPr>
        <w:lastRenderedPageBreak/>
        <w:tab/>
      </w:r>
      <w:hyperlink r:id="rId45" w:history="1">
        <w:r w:rsidRPr="003F0106">
          <w:rPr>
            <w:rStyle w:val="ac"/>
          </w:rPr>
          <w:t>https</w:t>
        </w:r>
        <w:r w:rsidRPr="003F0106">
          <w:rPr>
            <w:rStyle w:val="ac"/>
            <w:lang w:val="uk-UA"/>
          </w:rPr>
          <w:t>://</w:t>
        </w:r>
        <w:r w:rsidRPr="003F0106">
          <w:rPr>
            <w:rStyle w:val="ac"/>
          </w:rPr>
          <w:t>eur</w:t>
        </w:r>
        <w:r w:rsidRPr="003F0106">
          <w:rPr>
            <w:rStyle w:val="ac"/>
            <w:lang w:val="uk-UA"/>
          </w:rPr>
          <w:t>-</w:t>
        </w:r>
        <w:r w:rsidRPr="003F0106">
          <w:rPr>
            <w:rStyle w:val="ac"/>
          </w:rPr>
          <w:t>lex</w:t>
        </w:r>
        <w:r w:rsidRPr="003F0106">
          <w:rPr>
            <w:rStyle w:val="ac"/>
            <w:lang w:val="uk-UA"/>
          </w:rPr>
          <w:t>.</w:t>
        </w:r>
        <w:r w:rsidRPr="003F0106">
          <w:rPr>
            <w:rStyle w:val="ac"/>
          </w:rPr>
          <w:t>europa</w:t>
        </w:r>
        <w:r w:rsidRPr="003F0106">
          <w:rPr>
            <w:rStyle w:val="ac"/>
            <w:lang w:val="uk-UA"/>
          </w:rPr>
          <w:t>.</w:t>
        </w:r>
        <w:r w:rsidRPr="003F0106">
          <w:rPr>
            <w:rStyle w:val="ac"/>
          </w:rPr>
          <w:t>eu</w:t>
        </w:r>
        <w:r w:rsidRPr="003F0106">
          <w:rPr>
            <w:rStyle w:val="ac"/>
            <w:lang w:val="uk-UA"/>
          </w:rPr>
          <w:t>/</w:t>
        </w:r>
        <w:r w:rsidRPr="003F0106">
          <w:rPr>
            <w:rStyle w:val="ac"/>
          </w:rPr>
          <w:t>eli</w:t>
        </w:r>
        <w:r w:rsidRPr="003F0106">
          <w:rPr>
            <w:rStyle w:val="ac"/>
            <w:lang w:val="uk-UA"/>
          </w:rPr>
          <w:t>/</w:t>
        </w:r>
        <w:r w:rsidRPr="003F0106">
          <w:rPr>
            <w:rStyle w:val="ac"/>
          </w:rPr>
          <w:t>dir</w:t>
        </w:r>
        <w:r w:rsidRPr="003F0106">
          <w:rPr>
            <w:rStyle w:val="ac"/>
            <w:lang w:val="uk-UA"/>
          </w:rPr>
          <w:t>/2018/2001/2018-12-21</w:t>
        </w:r>
      </w:hyperlink>
    </w:p>
    <w:p w14:paraId="4660C2B7" w14:textId="77777777" w:rsidR="001F7920" w:rsidRPr="00C00BFF" w:rsidRDefault="001F7920" w:rsidP="001F7920">
      <w:pPr>
        <w:tabs>
          <w:tab w:val="left" w:pos="426"/>
        </w:tabs>
        <w:spacing w:line="360" w:lineRule="auto"/>
        <w:ind w:left="426" w:hanging="426"/>
        <w:jc w:val="both"/>
        <w:rPr>
          <w:lang w:val="uk-UA"/>
        </w:rPr>
      </w:pPr>
      <w:r w:rsidRPr="001E3AE5">
        <w:rPr>
          <w:lang w:val="en-US"/>
        </w:rPr>
        <w:t xml:space="preserve">4. </w:t>
      </w:r>
      <w:r w:rsidRPr="001E3AE5">
        <w:rPr>
          <w:lang w:val="en-US"/>
        </w:rPr>
        <w:tab/>
      </w:r>
      <w:r w:rsidRPr="001E3AE5">
        <w:rPr>
          <w:i/>
          <w:lang w:val="en-US"/>
        </w:rPr>
        <w:t>Biofuels</w:t>
      </w:r>
      <w:r w:rsidRPr="001E3AE5">
        <w:rPr>
          <w:lang w:val="uk-UA"/>
        </w:rPr>
        <w:t>.</w:t>
      </w:r>
      <w:r w:rsidRPr="001E3AE5">
        <w:rPr>
          <w:lang w:val="en-US"/>
        </w:rPr>
        <w:t xml:space="preserve"> Bioenergy Europe Statistical Report, 2020.</w:t>
      </w:r>
      <w:r>
        <w:rPr>
          <w:lang w:val="uk-UA"/>
        </w:rPr>
        <w:t xml:space="preserve"> </w:t>
      </w:r>
    </w:p>
    <w:p w14:paraId="091AD202" w14:textId="77777777" w:rsidR="001F7920" w:rsidRPr="001F7920" w:rsidRDefault="00C3754C" w:rsidP="001F7920">
      <w:pPr>
        <w:tabs>
          <w:tab w:val="left" w:pos="426"/>
        </w:tabs>
        <w:spacing w:line="360" w:lineRule="auto"/>
        <w:ind w:left="426"/>
        <w:jc w:val="both"/>
        <w:rPr>
          <w:highlight w:val="yellow"/>
          <w:lang w:val="uk-UA"/>
        </w:rPr>
      </w:pPr>
      <w:hyperlink r:id="rId46" w:history="1">
        <w:r w:rsidR="001F7920" w:rsidRPr="001E3AE5">
          <w:rPr>
            <w:rStyle w:val="ac"/>
            <w:lang w:val="en-US"/>
          </w:rPr>
          <w:t>https</w:t>
        </w:r>
        <w:r w:rsidR="001F7920" w:rsidRPr="001F7920">
          <w:rPr>
            <w:rStyle w:val="ac"/>
            <w:lang w:val="uk-UA"/>
          </w:rPr>
          <w:t>://</w:t>
        </w:r>
        <w:r w:rsidR="001F7920" w:rsidRPr="001E3AE5">
          <w:rPr>
            <w:rStyle w:val="ac"/>
            <w:lang w:val="en-US"/>
          </w:rPr>
          <w:t>bioenergyeurope</w:t>
        </w:r>
        <w:r w:rsidR="001F7920" w:rsidRPr="001F7920">
          <w:rPr>
            <w:rStyle w:val="ac"/>
            <w:lang w:val="uk-UA"/>
          </w:rPr>
          <w:t>.</w:t>
        </w:r>
        <w:r w:rsidR="001F7920" w:rsidRPr="001E3AE5">
          <w:rPr>
            <w:rStyle w:val="ac"/>
            <w:lang w:val="en-US"/>
          </w:rPr>
          <w:t>org</w:t>
        </w:r>
        <w:r w:rsidR="001F7920" w:rsidRPr="001F7920">
          <w:rPr>
            <w:rStyle w:val="ac"/>
            <w:lang w:val="uk-UA"/>
          </w:rPr>
          <w:t>/29-</w:t>
        </w:r>
        <w:r w:rsidR="001F7920" w:rsidRPr="001E3AE5">
          <w:rPr>
            <w:rStyle w:val="ac"/>
            <w:lang w:val="en-US"/>
          </w:rPr>
          <w:t>statistical</w:t>
        </w:r>
        <w:r w:rsidR="001F7920" w:rsidRPr="001F7920">
          <w:rPr>
            <w:rStyle w:val="ac"/>
            <w:lang w:val="uk-UA"/>
          </w:rPr>
          <w:t>-</w:t>
        </w:r>
        <w:r w:rsidR="001F7920" w:rsidRPr="001E3AE5">
          <w:rPr>
            <w:rStyle w:val="ac"/>
            <w:lang w:val="en-US"/>
          </w:rPr>
          <w:t>reports</w:t>
        </w:r>
        <w:r w:rsidR="001F7920" w:rsidRPr="001F7920">
          <w:rPr>
            <w:rStyle w:val="ac"/>
            <w:lang w:val="uk-UA"/>
          </w:rPr>
          <w:t>/252-</w:t>
        </w:r>
        <w:r w:rsidR="001F7920" w:rsidRPr="001E3AE5">
          <w:rPr>
            <w:rStyle w:val="ac"/>
            <w:lang w:val="en-US"/>
          </w:rPr>
          <w:t>biofuels</w:t>
        </w:r>
        <w:r w:rsidR="001F7920" w:rsidRPr="001F7920">
          <w:rPr>
            <w:rStyle w:val="ac"/>
            <w:lang w:val="uk-UA"/>
          </w:rPr>
          <w:t>-</w:t>
        </w:r>
        <w:r w:rsidR="001F7920" w:rsidRPr="001E3AE5">
          <w:rPr>
            <w:rStyle w:val="ac"/>
            <w:lang w:val="en-US"/>
          </w:rPr>
          <w:t>for</w:t>
        </w:r>
        <w:r w:rsidR="001F7920" w:rsidRPr="001F7920">
          <w:rPr>
            <w:rStyle w:val="ac"/>
            <w:lang w:val="uk-UA"/>
          </w:rPr>
          <w:t>-</w:t>
        </w:r>
        <w:r w:rsidR="001F7920" w:rsidRPr="001E3AE5">
          <w:rPr>
            <w:rStyle w:val="ac"/>
            <w:lang w:val="en-US"/>
          </w:rPr>
          <w:t>transport</w:t>
        </w:r>
        <w:r w:rsidR="001F7920" w:rsidRPr="001F7920">
          <w:rPr>
            <w:rStyle w:val="ac"/>
            <w:lang w:val="uk-UA"/>
          </w:rPr>
          <w:t>.</w:t>
        </w:r>
        <w:r w:rsidR="001F7920" w:rsidRPr="001E3AE5">
          <w:rPr>
            <w:rStyle w:val="ac"/>
            <w:lang w:val="en-US"/>
          </w:rPr>
          <w:t>html</w:t>
        </w:r>
      </w:hyperlink>
    </w:p>
    <w:p w14:paraId="64F73CF0" w14:textId="77777777" w:rsidR="001F7920" w:rsidRPr="00C00BFF" w:rsidRDefault="001F7920" w:rsidP="001F7920">
      <w:pPr>
        <w:tabs>
          <w:tab w:val="left" w:pos="426"/>
        </w:tabs>
        <w:spacing w:line="360" w:lineRule="auto"/>
        <w:ind w:left="426" w:hanging="426"/>
        <w:jc w:val="both"/>
        <w:rPr>
          <w:lang w:val="uk-UA"/>
        </w:rPr>
      </w:pPr>
      <w:r w:rsidRPr="001E3AE5">
        <w:rPr>
          <w:lang w:val="uk-UA"/>
        </w:rPr>
        <w:t>5</w:t>
      </w:r>
      <w:r w:rsidRPr="001E3AE5">
        <w:rPr>
          <w:lang w:val="en-GB"/>
        </w:rPr>
        <w:t xml:space="preserve">. </w:t>
      </w:r>
      <w:r w:rsidRPr="001E3AE5">
        <w:rPr>
          <w:lang w:val="en-GB"/>
        </w:rPr>
        <w:tab/>
      </w:r>
      <w:r w:rsidRPr="00644F26">
        <w:rPr>
          <w:i/>
          <w:lang w:val="en-US"/>
        </w:rPr>
        <w:t>Policy Brief</w:t>
      </w:r>
      <w:r w:rsidRPr="001E3AE5">
        <w:rPr>
          <w:lang w:val="en-US"/>
        </w:rPr>
        <w:t>: Biofuels for transport</w:t>
      </w:r>
      <w:r w:rsidRPr="001E3AE5">
        <w:rPr>
          <w:lang w:val="uk-UA"/>
        </w:rPr>
        <w:t>.</w:t>
      </w:r>
      <w:r w:rsidRPr="001E3AE5">
        <w:rPr>
          <w:lang w:val="en-US"/>
        </w:rPr>
        <w:t xml:space="preserve"> Bioenergy Europe Statistical Report, 2020</w:t>
      </w:r>
      <w:r w:rsidRPr="001E3AE5">
        <w:rPr>
          <w:lang w:val="en-GB"/>
        </w:rPr>
        <w:t>.</w:t>
      </w:r>
      <w:r>
        <w:rPr>
          <w:lang w:val="uk-UA"/>
        </w:rPr>
        <w:t xml:space="preserve"> </w:t>
      </w:r>
    </w:p>
    <w:p w14:paraId="7BE9B573" w14:textId="77777777" w:rsidR="001F7920" w:rsidRDefault="001F7920" w:rsidP="001F7920">
      <w:pPr>
        <w:tabs>
          <w:tab w:val="left" w:pos="426"/>
        </w:tabs>
        <w:spacing w:line="360" w:lineRule="auto"/>
        <w:ind w:left="426" w:hanging="426"/>
        <w:jc w:val="both"/>
        <w:rPr>
          <w:lang w:val="en-GB"/>
        </w:rPr>
      </w:pPr>
      <w:r>
        <w:rPr>
          <w:lang w:val="en-GB"/>
        </w:rPr>
        <w:tab/>
      </w:r>
      <w:hyperlink r:id="rId47" w:history="1">
        <w:r w:rsidRPr="00E7713C">
          <w:rPr>
            <w:rStyle w:val="ac"/>
            <w:lang w:val="en-GB"/>
          </w:rPr>
          <w:t>https://bioenergyeurope.org/29-statistical-reports/252-biofuels-for-transport.html</w:t>
        </w:r>
      </w:hyperlink>
    </w:p>
    <w:p w14:paraId="4FE2FD0E" w14:textId="77777777" w:rsidR="001F7920" w:rsidRPr="00981381" w:rsidRDefault="001F7920" w:rsidP="001F7920">
      <w:pPr>
        <w:tabs>
          <w:tab w:val="left" w:pos="426"/>
        </w:tabs>
        <w:spacing w:line="360" w:lineRule="auto"/>
        <w:ind w:left="426" w:hanging="426"/>
        <w:jc w:val="both"/>
        <w:rPr>
          <w:lang w:val="en-US"/>
        </w:rPr>
      </w:pPr>
      <w:r w:rsidRPr="00981381">
        <w:rPr>
          <w:lang w:val="en-GB"/>
        </w:rPr>
        <w:t xml:space="preserve">6. </w:t>
      </w:r>
      <w:r w:rsidRPr="00981381">
        <w:rPr>
          <w:lang w:val="en-GB"/>
        </w:rPr>
        <w:tab/>
        <w:t>EU Biofuels Annual Report 2019, USDA</w:t>
      </w:r>
      <w:r>
        <w:rPr>
          <w:lang w:val="en-GB"/>
        </w:rPr>
        <w:t xml:space="preserve">, 2019.  </w:t>
      </w:r>
      <w:hyperlink r:id="rId48" w:history="1">
        <w:r w:rsidRPr="00E7713C">
          <w:rPr>
            <w:rStyle w:val="ac"/>
            <w:lang w:val="en-US"/>
          </w:rPr>
          <w:t>https://bit.ly/3lbEjwm</w:t>
        </w:r>
      </w:hyperlink>
    </w:p>
    <w:p w14:paraId="5212DABA" w14:textId="77777777" w:rsidR="001F7920" w:rsidRPr="00C00BFF" w:rsidRDefault="001F7920" w:rsidP="001F7920">
      <w:pPr>
        <w:tabs>
          <w:tab w:val="left" w:pos="426"/>
        </w:tabs>
        <w:spacing w:line="360" w:lineRule="auto"/>
        <w:ind w:left="426" w:hanging="426"/>
        <w:jc w:val="both"/>
        <w:rPr>
          <w:lang w:val="uk-UA"/>
        </w:rPr>
      </w:pPr>
      <w:r>
        <w:rPr>
          <w:lang w:val="uk-UA"/>
        </w:rPr>
        <w:t xml:space="preserve">7. </w:t>
      </w:r>
      <w:r>
        <w:rPr>
          <w:lang w:val="uk-UA"/>
        </w:rPr>
        <w:tab/>
      </w:r>
      <w:r w:rsidRPr="006002C9">
        <w:rPr>
          <w:i/>
          <w:lang w:val="en-US"/>
        </w:rPr>
        <w:t>Renewables</w:t>
      </w:r>
      <w:r w:rsidRPr="005F5C26">
        <w:rPr>
          <w:lang w:val="en-US"/>
        </w:rPr>
        <w:t xml:space="preserve"> 2021</w:t>
      </w:r>
      <w:r>
        <w:rPr>
          <w:lang w:val="uk-UA"/>
        </w:rPr>
        <w:t>.</w:t>
      </w:r>
      <w:r w:rsidRPr="005F5C26">
        <w:rPr>
          <w:lang w:val="en-US"/>
        </w:rPr>
        <w:t xml:space="preserve"> Global Status Report. </w:t>
      </w:r>
      <w:r>
        <w:rPr>
          <w:lang w:val="en-US"/>
        </w:rPr>
        <w:t>REN21, 2021.</w:t>
      </w:r>
      <w:r>
        <w:rPr>
          <w:lang w:val="uk-UA"/>
        </w:rPr>
        <w:t xml:space="preserve"> </w:t>
      </w:r>
    </w:p>
    <w:p w14:paraId="385DE6D7" w14:textId="77777777" w:rsidR="001F7920" w:rsidRDefault="001F7920" w:rsidP="001F7920">
      <w:pPr>
        <w:tabs>
          <w:tab w:val="left" w:pos="426"/>
        </w:tabs>
        <w:spacing w:line="360" w:lineRule="auto"/>
        <w:ind w:left="426" w:hanging="426"/>
        <w:jc w:val="both"/>
        <w:rPr>
          <w:lang w:val="uk-UA"/>
        </w:rPr>
      </w:pPr>
      <w:r>
        <w:rPr>
          <w:lang w:val="en-US"/>
        </w:rPr>
        <w:tab/>
      </w:r>
      <w:hyperlink r:id="rId49" w:history="1">
        <w:r w:rsidRPr="005F5C26">
          <w:rPr>
            <w:rStyle w:val="ac"/>
            <w:lang w:val="en-US"/>
          </w:rPr>
          <w:t>https://www.ren21.net/wp-content/uploads/2019/05/GSR2021_Full_Report.pdf</w:t>
        </w:r>
      </w:hyperlink>
    </w:p>
    <w:p w14:paraId="056D94B6" w14:textId="77777777" w:rsidR="001F7920" w:rsidRPr="00DA05B6" w:rsidRDefault="001F7920" w:rsidP="001F7920">
      <w:pPr>
        <w:tabs>
          <w:tab w:val="left" w:pos="426"/>
        </w:tabs>
        <w:spacing w:line="360" w:lineRule="auto"/>
        <w:ind w:left="426" w:hanging="426"/>
        <w:jc w:val="both"/>
        <w:rPr>
          <w:lang w:val="en-GB"/>
        </w:rPr>
      </w:pPr>
      <w:r w:rsidRPr="00DA05B6">
        <w:rPr>
          <w:lang w:val="uk-UA"/>
        </w:rPr>
        <w:t>8</w:t>
      </w:r>
      <w:r w:rsidRPr="00DA05B6">
        <w:rPr>
          <w:lang w:val="en-GB"/>
        </w:rPr>
        <w:t xml:space="preserve">. </w:t>
      </w:r>
      <w:r w:rsidRPr="00DA05B6">
        <w:rPr>
          <w:lang w:val="en-GB"/>
        </w:rPr>
        <w:tab/>
      </w:r>
      <w:r w:rsidRPr="00DA05B6">
        <w:rPr>
          <w:i/>
          <w:lang w:val="en-US"/>
        </w:rPr>
        <w:t>Sweden’s Integrated</w:t>
      </w:r>
      <w:r w:rsidRPr="00DA05B6">
        <w:rPr>
          <w:lang w:val="en-US"/>
        </w:rPr>
        <w:t xml:space="preserve"> National Energy and Climate Plan</w:t>
      </w:r>
      <w:r w:rsidRPr="00DA05B6">
        <w:rPr>
          <w:lang w:val="en-GB"/>
        </w:rPr>
        <w:t>, 2020.</w:t>
      </w:r>
    </w:p>
    <w:p w14:paraId="57EEABFC" w14:textId="77777777" w:rsidR="001F7920" w:rsidRPr="00DA05B6" w:rsidRDefault="001F7920" w:rsidP="001F7920">
      <w:pPr>
        <w:tabs>
          <w:tab w:val="left" w:pos="426"/>
          <w:tab w:val="left" w:pos="7904"/>
        </w:tabs>
        <w:spacing w:line="360" w:lineRule="auto"/>
        <w:ind w:left="426" w:hanging="426"/>
        <w:jc w:val="both"/>
        <w:rPr>
          <w:lang w:val="en-GB"/>
        </w:rPr>
      </w:pPr>
      <w:r w:rsidRPr="00DA05B6">
        <w:rPr>
          <w:lang w:val="en-GB"/>
        </w:rPr>
        <w:tab/>
      </w:r>
      <w:hyperlink r:id="rId50" w:history="1">
        <w:r w:rsidRPr="00DA05B6">
          <w:rPr>
            <w:rStyle w:val="ac"/>
            <w:lang w:val="en-GB"/>
          </w:rPr>
          <w:t>https://ec.europa.eu/energy/sites/ener/files/documents/se_final_necp_main_en.pdf</w:t>
        </w:r>
      </w:hyperlink>
    </w:p>
    <w:p w14:paraId="7A48C047" w14:textId="77777777" w:rsidR="001F7920" w:rsidRPr="00DA05B6" w:rsidRDefault="001F7920" w:rsidP="001F7920">
      <w:pPr>
        <w:tabs>
          <w:tab w:val="left" w:pos="426"/>
        </w:tabs>
        <w:spacing w:line="360" w:lineRule="auto"/>
        <w:ind w:left="426" w:hanging="426"/>
        <w:jc w:val="both"/>
        <w:rPr>
          <w:lang w:val="uk-UA"/>
        </w:rPr>
      </w:pPr>
      <w:r w:rsidRPr="00DA05B6">
        <w:rPr>
          <w:lang w:val="uk-UA"/>
        </w:rPr>
        <w:t xml:space="preserve">9. </w:t>
      </w:r>
      <w:r w:rsidRPr="00DA05B6">
        <w:rPr>
          <w:lang w:val="uk-UA"/>
        </w:rPr>
        <w:tab/>
      </w:r>
      <w:r w:rsidRPr="00DA05B6">
        <w:rPr>
          <w:i/>
          <w:lang w:val="uk-UA"/>
        </w:rPr>
        <w:t>Парк електромобілів</w:t>
      </w:r>
      <w:r w:rsidRPr="00DA05B6">
        <w:rPr>
          <w:lang w:val="uk-UA"/>
        </w:rPr>
        <w:t xml:space="preserve"> в Україні. Федерація роботодавців автомобільної галузі. </w:t>
      </w:r>
    </w:p>
    <w:p w14:paraId="54056CE9" w14:textId="77777777" w:rsidR="001F7920" w:rsidRPr="00DA05B6" w:rsidRDefault="001F7920" w:rsidP="001F7920">
      <w:pPr>
        <w:tabs>
          <w:tab w:val="left" w:pos="426"/>
        </w:tabs>
        <w:spacing w:line="360" w:lineRule="auto"/>
        <w:ind w:left="426" w:hanging="426"/>
        <w:jc w:val="both"/>
        <w:rPr>
          <w:lang w:val="uk-UA"/>
        </w:rPr>
      </w:pPr>
      <w:r w:rsidRPr="00DA05B6">
        <w:tab/>
      </w:r>
      <w:hyperlink r:id="rId51" w:history="1">
        <w:r w:rsidRPr="00DA05B6">
          <w:rPr>
            <w:rStyle w:val="ac"/>
          </w:rPr>
          <w:t>https://fra.org.ua/uk/st/statistika/infoghrafika/park-elektromobiliv-v-ukrayini</w:t>
        </w:r>
      </w:hyperlink>
    </w:p>
    <w:p w14:paraId="6F301011" w14:textId="178FFD6C" w:rsidR="001F7920" w:rsidRPr="00DA05B6" w:rsidRDefault="001F7920" w:rsidP="001F7920">
      <w:pPr>
        <w:tabs>
          <w:tab w:val="left" w:pos="426"/>
        </w:tabs>
        <w:spacing w:line="360" w:lineRule="auto"/>
        <w:ind w:left="426" w:hanging="426"/>
        <w:jc w:val="both"/>
        <w:rPr>
          <w:rStyle w:val="ac"/>
          <w:lang w:val="uk-UA"/>
        </w:rPr>
      </w:pPr>
      <w:r w:rsidRPr="00DA05B6">
        <w:rPr>
          <w:lang w:val="uk-UA"/>
        </w:rPr>
        <w:t>10</w:t>
      </w:r>
      <w:r w:rsidRPr="00DA05B6">
        <w:t>.</w:t>
      </w:r>
      <w:r w:rsidRPr="00DA05B6">
        <w:tab/>
      </w:r>
      <w:r w:rsidRPr="00DA05B6">
        <w:rPr>
          <w:i/>
          <w:lang w:val="uk-UA"/>
        </w:rPr>
        <w:t>Звіт</w:t>
      </w:r>
      <w:r w:rsidRPr="00DA05B6">
        <w:rPr>
          <w:lang w:val="uk-UA"/>
        </w:rPr>
        <w:t xml:space="preserve"> про результати стимулювання та використання енергії, виробленої з відновлюваних джерел, в Україні за 2018-2019 рр., Держенергоефективності. </w:t>
      </w:r>
      <w:hyperlink r:id="rId52" w:history="1"/>
    </w:p>
    <w:p w14:paraId="51281E59" w14:textId="77777777" w:rsidR="00201A3A" w:rsidRPr="00DA05B6" w:rsidRDefault="00201A3A" w:rsidP="00201A3A">
      <w:pPr>
        <w:tabs>
          <w:tab w:val="left" w:pos="426"/>
        </w:tabs>
        <w:spacing w:line="360" w:lineRule="auto"/>
        <w:ind w:left="426"/>
        <w:jc w:val="both"/>
        <w:rPr>
          <w:lang w:val="uk-UA"/>
        </w:rPr>
      </w:pPr>
      <w:r w:rsidRPr="00DA05B6">
        <w:t>https</w:t>
      </w:r>
      <w:r w:rsidRPr="00DA05B6">
        <w:rPr>
          <w:lang w:val="uk-UA"/>
        </w:rPr>
        <w:t>://</w:t>
      </w:r>
      <w:r w:rsidRPr="00DA05B6">
        <w:t>saee</w:t>
      </w:r>
      <w:r w:rsidRPr="00DA05B6">
        <w:rPr>
          <w:lang w:val="uk-UA"/>
        </w:rPr>
        <w:t>.</w:t>
      </w:r>
      <w:r w:rsidRPr="00DA05B6">
        <w:t>gov</w:t>
      </w:r>
      <w:r w:rsidRPr="00DA05B6">
        <w:rPr>
          <w:lang w:val="uk-UA"/>
        </w:rPr>
        <w:t>.</w:t>
      </w:r>
      <w:r w:rsidRPr="00DA05B6">
        <w:t>ua</w:t>
      </w:r>
      <w:r w:rsidRPr="00DA05B6">
        <w:rPr>
          <w:lang w:val="uk-UA"/>
        </w:rPr>
        <w:t>/</w:t>
      </w:r>
      <w:r w:rsidRPr="00DA05B6">
        <w:t>sites</w:t>
      </w:r>
      <w:r w:rsidRPr="00DA05B6">
        <w:rPr>
          <w:lang w:val="uk-UA"/>
        </w:rPr>
        <w:t>/</w:t>
      </w:r>
      <w:r w:rsidRPr="00DA05B6">
        <w:t>default</w:t>
      </w:r>
      <w:r w:rsidRPr="00DA05B6">
        <w:rPr>
          <w:lang w:val="uk-UA"/>
        </w:rPr>
        <w:t>/</w:t>
      </w:r>
      <w:r w:rsidRPr="00DA05B6">
        <w:t>files</w:t>
      </w:r>
      <w:r w:rsidRPr="00DA05B6">
        <w:rPr>
          <w:lang w:val="uk-UA"/>
        </w:rPr>
        <w:t>/</w:t>
      </w:r>
      <w:r w:rsidRPr="00DA05B6">
        <w:t>Report</w:t>
      </w:r>
      <w:r w:rsidRPr="00DA05B6">
        <w:rPr>
          <w:lang w:val="uk-UA"/>
        </w:rPr>
        <w:t>%20</w:t>
      </w:r>
      <w:r w:rsidRPr="00DA05B6">
        <w:t>to</w:t>
      </w:r>
      <w:r w:rsidRPr="00DA05B6">
        <w:rPr>
          <w:lang w:val="uk-UA"/>
        </w:rPr>
        <w:t>%20</w:t>
      </w:r>
      <w:r w:rsidRPr="00DA05B6">
        <w:t>Energy</w:t>
      </w:r>
      <w:r w:rsidRPr="00DA05B6">
        <w:rPr>
          <w:lang w:val="uk-UA"/>
        </w:rPr>
        <w:t>%20</w:t>
      </w:r>
      <w:r w:rsidRPr="00DA05B6">
        <w:t>Commun</w:t>
      </w:r>
      <w:r w:rsidRPr="00DA05B6">
        <w:rPr>
          <w:lang w:val="uk-UA"/>
        </w:rPr>
        <w:t>%20</w:t>
      </w:r>
      <w:r w:rsidRPr="00DA05B6">
        <w:t>RES</w:t>
      </w:r>
      <w:r w:rsidRPr="00DA05B6">
        <w:rPr>
          <w:lang w:val="uk-UA"/>
        </w:rPr>
        <w:t>%20</w:t>
      </w:r>
      <w:r w:rsidRPr="00DA05B6">
        <w:t>UKraine</w:t>
      </w:r>
      <w:r w:rsidRPr="00DA05B6">
        <w:rPr>
          <w:lang w:val="uk-UA"/>
        </w:rPr>
        <w:t>%202018-2019%20%28</w:t>
      </w:r>
      <w:r w:rsidRPr="00DA05B6">
        <w:t>final</w:t>
      </w:r>
      <w:r w:rsidRPr="00DA05B6">
        <w:rPr>
          <w:lang w:val="uk-UA"/>
        </w:rPr>
        <w:t>%29.</w:t>
      </w:r>
      <w:r w:rsidRPr="00DA05B6">
        <w:t>pdf</w:t>
      </w:r>
    </w:p>
    <w:p w14:paraId="21E54BD2" w14:textId="77777777" w:rsidR="001F7920" w:rsidRPr="00DA05B6" w:rsidRDefault="001F7920" w:rsidP="001F7920">
      <w:pPr>
        <w:tabs>
          <w:tab w:val="left" w:pos="426"/>
        </w:tabs>
        <w:spacing w:line="360" w:lineRule="auto"/>
        <w:ind w:left="426" w:hanging="426"/>
        <w:jc w:val="both"/>
        <w:rPr>
          <w:lang w:val="en-US"/>
        </w:rPr>
      </w:pPr>
      <w:r w:rsidRPr="00DA05B6">
        <w:rPr>
          <w:lang w:val="uk-UA"/>
        </w:rPr>
        <w:t xml:space="preserve">11. </w:t>
      </w:r>
      <w:r w:rsidRPr="00DA05B6">
        <w:rPr>
          <w:lang w:val="uk-UA"/>
        </w:rPr>
        <w:tab/>
      </w:r>
      <w:r w:rsidRPr="00DA05B6">
        <w:rPr>
          <w:i/>
          <w:lang w:val="en-US"/>
        </w:rPr>
        <w:t>Action plans</w:t>
      </w:r>
      <w:r w:rsidRPr="00DA05B6">
        <w:rPr>
          <w:lang w:val="en-US"/>
        </w:rPr>
        <w:t>, reports and statements, Ukraine. Energy Community.</w:t>
      </w:r>
    </w:p>
    <w:p w14:paraId="749A83A3" w14:textId="77777777" w:rsidR="001F7920" w:rsidRPr="00DA05B6" w:rsidRDefault="001F7920" w:rsidP="001F7920">
      <w:pPr>
        <w:tabs>
          <w:tab w:val="left" w:pos="426"/>
        </w:tabs>
        <w:spacing w:line="360" w:lineRule="auto"/>
        <w:ind w:left="426" w:hanging="426"/>
        <w:jc w:val="both"/>
        <w:rPr>
          <w:lang w:val="uk-UA"/>
        </w:rPr>
      </w:pPr>
      <w:r w:rsidRPr="00DA05B6">
        <w:rPr>
          <w:lang w:val="uk-UA"/>
        </w:rPr>
        <w:tab/>
      </w:r>
      <w:hyperlink r:id="rId53" w:history="1">
        <w:r w:rsidRPr="00DA05B6">
          <w:rPr>
            <w:rStyle w:val="ac"/>
            <w:lang w:val="en-US"/>
          </w:rPr>
          <w:t>https</w:t>
        </w:r>
        <w:r w:rsidRPr="00DA05B6">
          <w:rPr>
            <w:rStyle w:val="ac"/>
            <w:lang w:val="uk-UA"/>
          </w:rPr>
          <w:t>://</w:t>
        </w:r>
        <w:r w:rsidRPr="00DA05B6">
          <w:rPr>
            <w:rStyle w:val="ac"/>
            <w:lang w:val="en-US"/>
          </w:rPr>
          <w:t>www</w:t>
        </w:r>
        <w:r w:rsidRPr="00DA05B6">
          <w:rPr>
            <w:rStyle w:val="ac"/>
            <w:lang w:val="uk-UA"/>
          </w:rPr>
          <w:t>.</w:t>
        </w:r>
        <w:r w:rsidRPr="00DA05B6">
          <w:rPr>
            <w:rStyle w:val="ac"/>
            <w:lang w:val="en-US"/>
          </w:rPr>
          <w:t>energy</w:t>
        </w:r>
        <w:r w:rsidRPr="00DA05B6">
          <w:rPr>
            <w:rStyle w:val="ac"/>
            <w:lang w:val="uk-UA"/>
          </w:rPr>
          <w:t>-</w:t>
        </w:r>
        <w:r w:rsidRPr="00DA05B6">
          <w:rPr>
            <w:rStyle w:val="ac"/>
            <w:lang w:val="en-US"/>
          </w:rPr>
          <w:t>community</w:t>
        </w:r>
        <w:r w:rsidRPr="00DA05B6">
          <w:rPr>
            <w:rStyle w:val="ac"/>
            <w:lang w:val="uk-UA"/>
          </w:rPr>
          <w:t>.</w:t>
        </w:r>
        <w:r w:rsidRPr="00DA05B6">
          <w:rPr>
            <w:rStyle w:val="ac"/>
            <w:lang w:val="en-US"/>
          </w:rPr>
          <w:t>org</w:t>
        </w:r>
        <w:r w:rsidRPr="00DA05B6">
          <w:rPr>
            <w:rStyle w:val="ac"/>
            <w:lang w:val="uk-UA"/>
          </w:rPr>
          <w:t>/</w:t>
        </w:r>
        <w:r w:rsidRPr="00DA05B6">
          <w:rPr>
            <w:rStyle w:val="ac"/>
            <w:lang w:val="en-US"/>
          </w:rPr>
          <w:t>implementation</w:t>
        </w:r>
        <w:r w:rsidRPr="00DA05B6">
          <w:rPr>
            <w:rStyle w:val="ac"/>
            <w:lang w:val="uk-UA"/>
          </w:rPr>
          <w:t>/</w:t>
        </w:r>
        <w:r w:rsidRPr="00DA05B6">
          <w:rPr>
            <w:rStyle w:val="ac"/>
            <w:lang w:val="en-US"/>
          </w:rPr>
          <w:t>Ukraine</w:t>
        </w:r>
        <w:r w:rsidRPr="00DA05B6">
          <w:rPr>
            <w:rStyle w:val="ac"/>
            <w:lang w:val="uk-UA"/>
          </w:rPr>
          <w:t>/</w:t>
        </w:r>
        <w:r w:rsidRPr="00DA05B6">
          <w:rPr>
            <w:rStyle w:val="ac"/>
            <w:lang w:val="en-US"/>
          </w:rPr>
          <w:t>reporting</w:t>
        </w:r>
        <w:r w:rsidRPr="00DA05B6">
          <w:rPr>
            <w:rStyle w:val="ac"/>
            <w:lang w:val="uk-UA"/>
          </w:rPr>
          <w:t>.</w:t>
        </w:r>
        <w:r w:rsidRPr="00DA05B6">
          <w:rPr>
            <w:rStyle w:val="ac"/>
            <w:lang w:val="en-US"/>
          </w:rPr>
          <w:t>html</w:t>
        </w:r>
      </w:hyperlink>
    </w:p>
    <w:p w14:paraId="66B907F0" w14:textId="77777777" w:rsidR="001F7920" w:rsidRPr="00DA05B6" w:rsidRDefault="001F7920" w:rsidP="001F7920">
      <w:pPr>
        <w:tabs>
          <w:tab w:val="left" w:pos="426"/>
        </w:tabs>
        <w:spacing w:line="360" w:lineRule="auto"/>
        <w:ind w:left="426" w:hanging="426"/>
        <w:jc w:val="both"/>
        <w:rPr>
          <w:lang w:val="uk-UA"/>
        </w:rPr>
      </w:pPr>
      <w:r w:rsidRPr="00DA05B6">
        <w:rPr>
          <w:lang w:val="uk-UA"/>
        </w:rPr>
        <w:t xml:space="preserve">12. </w:t>
      </w:r>
      <w:r w:rsidRPr="00DA05B6">
        <w:rPr>
          <w:lang w:val="uk-UA"/>
        </w:rPr>
        <w:tab/>
        <w:t xml:space="preserve">Розпорядження Кабінету Міністрів України № 902-р від 01.10.2014. </w:t>
      </w:r>
    </w:p>
    <w:p w14:paraId="6372689D" w14:textId="77777777" w:rsidR="001F7920" w:rsidRPr="00DA05B6" w:rsidRDefault="001F7920" w:rsidP="001F7920">
      <w:pPr>
        <w:tabs>
          <w:tab w:val="left" w:pos="426"/>
        </w:tabs>
        <w:spacing w:line="360" w:lineRule="auto"/>
        <w:ind w:left="426" w:hanging="426"/>
        <w:jc w:val="both"/>
        <w:rPr>
          <w:lang w:val="uk-UA"/>
        </w:rPr>
      </w:pPr>
      <w:r w:rsidRPr="00DA05B6">
        <w:rPr>
          <w:lang w:val="uk-UA"/>
        </w:rPr>
        <w:tab/>
      </w:r>
      <w:hyperlink r:id="rId54" w:anchor="n10" w:history="1">
        <w:r w:rsidRPr="00DA05B6">
          <w:rPr>
            <w:rStyle w:val="ac"/>
            <w:lang w:val="en-US"/>
          </w:rPr>
          <w:t>https</w:t>
        </w:r>
        <w:r w:rsidRPr="00DA05B6">
          <w:rPr>
            <w:rStyle w:val="ac"/>
            <w:lang w:val="uk-UA"/>
          </w:rPr>
          <w:t>://</w:t>
        </w:r>
        <w:r w:rsidRPr="00DA05B6">
          <w:rPr>
            <w:rStyle w:val="ac"/>
            <w:lang w:val="en-US"/>
          </w:rPr>
          <w:t>zakon</w:t>
        </w:r>
        <w:r w:rsidRPr="00DA05B6">
          <w:rPr>
            <w:rStyle w:val="ac"/>
            <w:lang w:val="uk-UA"/>
          </w:rPr>
          <w:t>.</w:t>
        </w:r>
        <w:r w:rsidRPr="00DA05B6">
          <w:rPr>
            <w:rStyle w:val="ac"/>
            <w:lang w:val="en-US"/>
          </w:rPr>
          <w:t>rada</w:t>
        </w:r>
        <w:r w:rsidRPr="00DA05B6">
          <w:rPr>
            <w:rStyle w:val="ac"/>
            <w:lang w:val="uk-UA"/>
          </w:rPr>
          <w:t>.</w:t>
        </w:r>
        <w:r w:rsidRPr="00DA05B6">
          <w:rPr>
            <w:rStyle w:val="ac"/>
            <w:lang w:val="en-US"/>
          </w:rPr>
          <w:t>gov</w:t>
        </w:r>
        <w:r w:rsidRPr="00DA05B6">
          <w:rPr>
            <w:rStyle w:val="ac"/>
            <w:lang w:val="uk-UA"/>
          </w:rPr>
          <w:t>.</w:t>
        </w:r>
        <w:r w:rsidRPr="00DA05B6">
          <w:rPr>
            <w:rStyle w:val="ac"/>
            <w:lang w:val="en-US"/>
          </w:rPr>
          <w:t>ua</w:t>
        </w:r>
        <w:r w:rsidRPr="00DA05B6">
          <w:rPr>
            <w:rStyle w:val="ac"/>
            <w:lang w:val="uk-UA"/>
          </w:rPr>
          <w:t>/</w:t>
        </w:r>
        <w:r w:rsidRPr="00DA05B6">
          <w:rPr>
            <w:rStyle w:val="ac"/>
            <w:lang w:val="en-US"/>
          </w:rPr>
          <w:t>laws</w:t>
        </w:r>
        <w:r w:rsidRPr="00DA05B6">
          <w:rPr>
            <w:rStyle w:val="ac"/>
            <w:lang w:val="uk-UA"/>
          </w:rPr>
          <w:t>/</w:t>
        </w:r>
        <w:r w:rsidRPr="00DA05B6">
          <w:rPr>
            <w:rStyle w:val="ac"/>
            <w:lang w:val="en-US"/>
          </w:rPr>
          <w:t>show</w:t>
        </w:r>
        <w:r w:rsidRPr="00DA05B6">
          <w:rPr>
            <w:rStyle w:val="ac"/>
            <w:lang w:val="uk-UA"/>
          </w:rPr>
          <w:t>/902-2014-%</w:t>
        </w:r>
        <w:r w:rsidRPr="00DA05B6">
          <w:rPr>
            <w:rStyle w:val="ac"/>
            <w:lang w:val="en-US"/>
          </w:rPr>
          <w:t>D</w:t>
        </w:r>
        <w:r w:rsidRPr="00DA05B6">
          <w:rPr>
            <w:rStyle w:val="ac"/>
            <w:lang w:val="uk-UA"/>
          </w:rPr>
          <w:t>1%80#</w:t>
        </w:r>
        <w:r w:rsidRPr="00DA05B6">
          <w:rPr>
            <w:rStyle w:val="ac"/>
            <w:lang w:val="en-US"/>
          </w:rPr>
          <w:t>n</w:t>
        </w:r>
        <w:r w:rsidRPr="00DA05B6">
          <w:rPr>
            <w:rStyle w:val="ac"/>
            <w:lang w:val="uk-UA"/>
          </w:rPr>
          <w:t>10</w:t>
        </w:r>
      </w:hyperlink>
    </w:p>
    <w:p w14:paraId="3724347D" w14:textId="77777777" w:rsidR="001F7920" w:rsidRPr="00DA05B6" w:rsidRDefault="001F7920" w:rsidP="001F7920">
      <w:pPr>
        <w:tabs>
          <w:tab w:val="left" w:pos="426"/>
        </w:tabs>
        <w:spacing w:line="360" w:lineRule="auto"/>
        <w:ind w:left="426" w:hanging="426"/>
        <w:jc w:val="both"/>
        <w:rPr>
          <w:lang w:val="uk-UA"/>
        </w:rPr>
      </w:pPr>
      <w:r w:rsidRPr="00DA05B6">
        <w:rPr>
          <w:lang w:val="uk-UA"/>
        </w:rPr>
        <w:t xml:space="preserve">13. </w:t>
      </w:r>
      <w:r w:rsidRPr="00DA05B6">
        <w:rPr>
          <w:lang w:val="uk-UA"/>
        </w:rPr>
        <w:tab/>
      </w:r>
      <w:r w:rsidRPr="00DA05B6">
        <w:rPr>
          <w:i/>
          <w:lang w:val="uk-UA"/>
        </w:rPr>
        <w:t>Інформація</w:t>
      </w:r>
      <w:r w:rsidRPr="00DA05B6">
        <w:rPr>
          <w:lang w:val="uk-UA"/>
        </w:rPr>
        <w:t xml:space="preserve"> щодо частки енергії, виробленої з відновлюваних джерел, у кінцевому енергоспоживанні у 2019 році, Держенергоефективності. </w:t>
      </w:r>
      <w:hyperlink r:id="rId55" w:history="1">
        <w:r w:rsidRPr="00DA05B6">
          <w:rPr>
            <w:rStyle w:val="ac"/>
            <w:iCs/>
            <w:lang w:val="uk-UA"/>
          </w:rPr>
          <w:t>https://saee.gov.ua/sites/default/files/RE_SAEE_2019.pdf</w:t>
        </w:r>
      </w:hyperlink>
    </w:p>
    <w:p w14:paraId="02FE7701" w14:textId="77777777" w:rsidR="001F7920" w:rsidRPr="00DA05B6" w:rsidRDefault="001F7920" w:rsidP="001F7920">
      <w:pPr>
        <w:tabs>
          <w:tab w:val="left" w:pos="426"/>
        </w:tabs>
        <w:spacing w:line="360" w:lineRule="auto"/>
        <w:ind w:left="426" w:hanging="426"/>
        <w:jc w:val="both"/>
        <w:rPr>
          <w:lang w:val="uk-UA"/>
        </w:rPr>
      </w:pPr>
      <w:r w:rsidRPr="00DA05B6">
        <w:rPr>
          <w:lang w:val="uk-UA"/>
        </w:rPr>
        <w:t xml:space="preserve">14. </w:t>
      </w:r>
      <w:r w:rsidRPr="00DA05B6">
        <w:rPr>
          <w:lang w:val="uk-UA"/>
        </w:rPr>
        <w:tab/>
      </w:r>
      <w:r w:rsidRPr="00DA05B6">
        <w:rPr>
          <w:i/>
          <w:lang w:val="uk-UA"/>
        </w:rPr>
        <w:t>Розпорядження</w:t>
      </w:r>
      <w:r w:rsidRPr="00DA05B6">
        <w:rPr>
          <w:lang w:val="uk-UA"/>
        </w:rPr>
        <w:t xml:space="preserve"> Кабінету Міністрів України № 430-р від 30.05.2018. </w:t>
      </w:r>
    </w:p>
    <w:p w14:paraId="772821CC" w14:textId="77777777" w:rsidR="001F7920" w:rsidRPr="00DA05B6" w:rsidRDefault="001F7920" w:rsidP="001F7920">
      <w:pPr>
        <w:tabs>
          <w:tab w:val="left" w:pos="426"/>
        </w:tabs>
        <w:spacing w:line="360" w:lineRule="auto"/>
        <w:ind w:left="426" w:hanging="426"/>
        <w:jc w:val="both"/>
        <w:rPr>
          <w:lang w:val="uk-UA"/>
        </w:rPr>
      </w:pPr>
      <w:r w:rsidRPr="00DA05B6">
        <w:rPr>
          <w:lang w:val="uk-UA"/>
        </w:rPr>
        <w:tab/>
      </w:r>
      <w:hyperlink r:id="rId56" w:anchor="Text" w:history="1">
        <w:r w:rsidRPr="00DA05B6">
          <w:rPr>
            <w:rStyle w:val="ac"/>
            <w:lang w:val="en-US"/>
          </w:rPr>
          <w:t>https</w:t>
        </w:r>
        <w:r w:rsidRPr="00DA05B6">
          <w:rPr>
            <w:rStyle w:val="ac"/>
            <w:lang w:val="uk-UA"/>
          </w:rPr>
          <w:t>://</w:t>
        </w:r>
        <w:r w:rsidRPr="00DA05B6">
          <w:rPr>
            <w:rStyle w:val="ac"/>
            <w:lang w:val="en-US"/>
          </w:rPr>
          <w:t>zakon</w:t>
        </w:r>
        <w:r w:rsidRPr="00DA05B6">
          <w:rPr>
            <w:rStyle w:val="ac"/>
            <w:lang w:val="uk-UA"/>
          </w:rPr>
          <w:t>.</w:t>
        </w:r>
        <w:r w:rsidRPr="00DA05B6">
          <w:rPr>
            <w:rStyle w:val="ac"/>
            <w:lang w:val="en-US"/>
          </w:rPr>
          <w:t>rada</w:t>
        </w:r>
        <w:r w:rsidRPr="00DA05B6">
          <w:rPr>
            <w:rStyle w:val="ac"/>
            <w:lang w:val="uk-UA"/>
          </w:rPr>
          <w:t>.</w:t>
        </w:r>
        <w:r w:rsidRPr="00DA05B6">
          <w:rPr>
            <w:rStyle w:val="ac"/>
            <w:lang w:val="en-US"/>
          </w:rPr>
          <w:t>gov</w:t>
        </w:r>
        <w:r w:rsidRPr="00DA05B6">
          <w:rPr>
            <w:rStyle w:val="ac"/>
            <w:lang w:val="uk-UA"/>
          </w:rPr>
          <w:t>.</w:t>
        </w:r>
        <w:r w:rsidRPr="00DA05B6">
          <w:rPr>
            <w:rStyle w:val="ac"/>
            <w:lang w:val="en-US"/>
          </w:rPr>
          <w:t>ua</w:t>
        </w:r>
        <w:r w:rsidRPr="00DA05B6">
          <w:rPr>
            <w:rStyle w:val="ac"/>
            <w:lang w:val="uk-UA"/>
          </w:rPr>
          <w:t>/</w:t>
        </w:r>
        <w:r w:rsidRPr="00DA05B6">
          <w:rPr>
            <w:rStyle w:val="ac"/>
            <w:lang w:val="en-US"/>
          </w:rPr>
          <w:t>laws</w:t>
        </w:r>
        <w:r w:rsidRPr="00DA05B6">
          <w:rPr>
            <w:rStyle w:val="ac"/>
            <w:lang w:val="uk-UA"/>
          </w:rPr>
          <w:t>/</w:t>
        </w:r>
        <w:r w:rsidRPr="00DA05B6">
          <w:rPr>
            <w:rStyle w:val="ac"/>
            <w:lang w:val="en-US"/>
          </w:rPr>
          <w:t>show</w:t>
        </w:r>
        <w:r w:rsidRPr="00DA05B6">
          <w:rPr>
            <w:rStyle w:val="ac"/>
            <w:lang w:val="uk-UA"/>
          </w:rPr>
          <w:t>/430-2018-%</w:t>
        </w:r>
        <w:r w:rsidRPr="00DA05B6">
          <w:rPr>
            <w:rStyle w:val="ac"/>
            <w:lang w:val="en-US"/>
          </w:rPr>
          <w:t>D</w:t>
        </w:r>
        <w:r w:rsidRPr="00DA05B6">
          <w:rPr>
            <w:rStyle w:val="ac"/>
            <w:lang w:val="uk-UA"/>
          </w:rPr>
          <w:t>1%80#</w:t>
        </w:r>
        <w:r w:rsidRPr="00DA05B6">
          <w:rPr>
            <w:rStyle w:val="ac"/>
            <w:lang w:val="en-US"/>
          </w:rPr>
          <w:t>Text</w:t>
        </w:r>
      </w:hyperlink>
    </w:p>
    <w:p w14:paraId="40AE4AC5" w14:textId="77777777" w:rsidR="001F7920" w:rsidRDefault="001F7920" w:rsidP="001F7920">
      <w:pPr>
        <w:tabs>
          <w:tab w:val="left" w:pos="426"/>
        </w:tabs>
        <w:spacing w:line="360" w:lineRule="auto"/>
        <w:ind w:left="426" w:hanging="426"/>
        <w:jc w:val="both"/>
        <w:rPr>
          <w:rStyle w:val="ac"/>
        </w:rPr>
      </w:pPr>
      <w:r w:rsidRPr="00DA05B6">
        <w:rPr>
          <w:lang w:val="uk-UA"/>
        </w:rPr>
        <w:t xml:space="preserve">15. </w:t>
      </w:r>
      <w:r w:rsidRPr="00DA05B6">
        <w:rPr>
          <w:lang w:val="uk-UA"/>
        </w:rPr>
        <w:tab/>
      </w:r>
      <w:r w:rsidRPr="00DA05B6">
        <w:rPr>
          <w:i/>
          <w:lang w:val="uk-UA"/>
        </w:rPr>
        <w:t>Аналітичний огляд</w:t>
      </w:r>
      <w:r w:rsidRPr="00DA05B6">
        <w:rPr>
          <w:lang w:val="uk-UA"/>
        </w:rPr>
        <w:t xml:space="preserve"> Оновленого національно визначеного внеску України до Паризької угоди. Міністерство захисту довкілля та природних ресурсів України, липень 2021. </w:t>
      </w:r>
      <w:hyperlink r:id="rId57" w:history="1">
        <w:r w:rsidRPr="00DA05B6">
          <w:rPr>
            <w:rStyle w:val="ac"/>
          </w:rPr>
          <w:t>https://bit.ly/3hOKZzE</w:t>
        </w:r>
      </w:hyperlink>
    </w:p>
    <w:p w14:paraId="57F1C170" w14:textId="7977472C" w:rsidR="006A5BC9" w:rsidRPr="00190B0A" w:rsidRDefault="00530CB3" w:rsidP="001F7920">
      <w:pPr>
        <w:tabs>
          <w:tab w:val="left" w:pos="426"/>
        </w:tabs>
        <w:spacing w:line="360" w:lineRule="auto"/>
        <w:ind w:left="426" w:hanging="426"/>
        <w:jc w:val="both"/>
        <w:rPr>
          <w:b/>
          <w:sz w:val="22"/>
          <w:szCs w:val="22"/>
          <w:lang w:val="uk-UA"/>
        </w:rPr>
      </w:pPr>
      <w:r w:rsidRPr="00315EB4">
        <w:rPr>
          <w:sz w:val="22"/>
          <w:szCs w:val="22"/>
          <w:highlight w:val="yellow"/>
          <w:lang w:val="uk-UA"/>
        </w:rPr>
        <w:br w:type="page"/>
      </w:r>
      <w:r w:rsidR="006A5BC9" w:rsidRPr="00190B0A">
        <w:rPr>
          <w:b/>
          <w:sz w:val="22"/>
          <w:szCs w:val="22"/>
          <w:lang w:val="uk-UA"/>
        </w:rPr>
        <w:lastRenderedPageBreak/>
        <w:t>УКР.</w:t>
      </w:r>
      <w:r w:rsidR="00BB5194" w:rsidRPr="00190B0A">
        <w:rPr>
          <w:b/>
          <w:sz w:val="22"/>
          <w:szCs w:val="22"/>
          <w:lang w:val="uk-UA"/>
        </w:rPr>
        <w:t xml:space="preserve"> </w:t>
      </w:r>
      <w:r w:rsidR="006A5BC9" w:rsidRPr="00190B0A">
        <w:rPr>
          <w:b/>
          <w:sz w:val="22"/>
          <w:szCs w:val="22"/>
          <w:lang w:val="uk-UA"/>
        </w:rPr>
        <w:t>РЕФЕР</w:t>
      </w:r>
      <w:r w:rsidR="00805E61" w:rsidRPr="00190B0A">
        <w:rPr>
          <w:b/>
          <w:sz w:val="22"/>
          <w:szCs w:val="22"/>
          <w:lang w:val="uk-UA"/>
        </w:rPr>
        <w:t>АТ</w:t>
      </w:r>
    </w:p>
    <w:p w14:paraId="7096B7BB" w14:textId="77777777" w:rsidR="006A5BC9" w:rsidRPr="00190B0A" w:rsidRDefault="006A5BC9" w:rsidP="00634033">
      <w:pPr>
        <w:spacing w:line="360" w:lineRule="auto"/>
        <w:jc w:val="both"/>
        <w:rPr>
          <w:sz w:val="22"/>
          <w:szCs w:val="22"/>
          <w:lang w:val="uk-UA"/>
        </w:rPr>
      </w:pPr>
      <w:r w:rsidRPr="00190B0A">
        <w:rPr>
          <w:sz w:val="22"/>
          <w:szCs w:val="22"/>
          <w:lang w:val="uk-UA"/>
        </w:rPr>
        <w:t>УДК 620.92</w:t>
      </w:r>
    </w:p>
    <w:p w14:paraId="43B59464" w14:textId="3B843D99" w:rsidR="006A5BC9" w:rsidRDefault="00201A3A" w:rsidP="00201A3A">
      <w:pPr>
        <w:spacing w:line="360" w:lineRule="auto"/>
        <w:jc w:val="center"/>
        <w:rPr>
          <w:bCs/>
          <w:sz w:val="24"/>
          <w:szCs w:val="24"/>
          <w:shd w:val="clear" w:color="auto" w:fill="FFFFFF"/>
          <w:lang w:val="uk-UA"/>
        </w:rPr>
      </w:pPr>
      <w:r w:rsidRPr="00201A3A">
        <w:rPr>
          <w:bCs/>
          <w:sz w:val="24"/>
          <w:szCs w:val="24"/>
          <w:shd w:val="clear" w:color="auto" w:fill="FFFFFF"/>
          <w:lang w:val="uk-UA"/>
        </w:rPr>
        <w:t>ПОТОЧНИЙ СТАН ТА ПЕРСПЕКТИВИ ВИКОРИСТАННЯ ВІДНОВЛЮВАНОЇ ЕНЕРГІЇ У ТРАНСПОРТНОМУ СЕКТОРІ</w:t>
      </w:r>
    </w:p>
    <w:p w14:paraId="5B3BE40E" w14:textId="77777777" w:rsidR="00DA05B6" w:rsidRPr="00315EB4" w:rsidRDefault="00DA05B6" w:rsidP="00201A3A">
      <w:pPr>
        <w:spacing w:line="360" w:lineRule="auto"/>
        <w:jc w:val="center"/>
        <w:rPr>
          <w:b/>
          <w:sz w:val="22"/>
          <w:szCs w:val="22"/>
          <w:highlight w:val="yellow"/>
          <w:lang w:val="uk-UA"/>
        </w:rPr>
      </w:pPr>
    </w:p>
    <w:p w14:paraId="659A3528" w14:textId="77777777" w:rsidR="00190B0A" w:rsidRPr="00315EB4" w:rsidRDefault="00190B0A" w:rsidP="00190B0A">
      <w:pPr>
        <w:spacing w:line="360" w:lineRule="auto"/>
        <w:outlineLvl w:val="0"/>
        <w:rPr>
          <w:sz w:val="22"/>
          <w:szCs w:val="22"/>
          <w:lang w:val="uk-UA"/>
        </w:rPr>
      </w:pPr>
      <w:r w:rsidRPr="00315EB4">
        <w:rPr>
          <w:b/>
          <w:sz w:val="22"/>
          <w:szCs w:val="22"/>
          <w:lang w:val="uk-UA"/>
        </w:rPr>
        <w:t xml:space="preserve">Желєзна Т.А., </w:t>
      </w:r>
      <w:r w:rsidRPr="00315EB4">
        <w:rPr>
          <w:sz w:val="22"/>
          <w:szCs w:val="22"/>
          <w:lang w:val="uk-UA"/>
        </w:rPr>
        <w:t>канд. техн. наук</w:t>
      </w:r>
      <w:r>
        <w:rPr>
          <w:sz w:val="22"/>
          <w:szCs w:val="22"/>
          <w:lang w:val="uk-UA"/>
        </w:rPr>
        <w:t xml:space="preserve">, </w:t>
      </w:r>
      <w:r w:rsidRPr="004F4228">
        <w:rPr>
          <w:b/>
          <w:sz w:val="22"/>
          <w:szCs w:val="22"/>
          <w:lang w:val="uk-UA"/>
        </w:rPr>
        <w:t>Баштовий А.І.</w:t>
      </w:r>
      <w:r w:rsidRPr="004F4228">
        <w:rPr>
          <w:sz w:val="22"/>
          <w:szCs w:val="22"/>
          <w:lang w:val="uk-UA"/>
        </w:rPr>
        <w:t>, канд. техн. наук</w:t>
      </w:r>
    </w:p>
    <w:p w14:paraId="3A0B5252" w14:textId="1D84341D" w:rsidR="006A5BC9" w:rsidRPr="00190B0A" w:rsidRDefault="006A5BC9" w:rsidP="00634033">
      <w:pPr>
        <w:spacing w:line="360" w:lineRule="auto"/>
        <w:jc w:val="both"/>
        <w:rPr>
          <w:sz w:val="22"/>
          <w:szCs w:val="22"/>
          <w:lang w:val="uk-UA"/>
        </w:rPr>
      </w:pPr>
      <w:r w:rsidRPr="00190B0A">
        <w:rPr>
          <w:sz w:val="22"/>
          <w:szCs w:val="22"/>
          <w:lang w:val="uk-UA"/>
        </w:rPr>
        <w:t xml:space="preserve">Інститут технічної теплофізики НАН України, вул. </w:t>
      </w:r>
      <w:r w:rsidR="000B67D5" w:rsidRPr="00190B0A">
        <w:rPr>
          <w:sz w:val="22"/>
          <w:szCs w:val="22"/>
          <w:lang w:val="uk-UA"/>
        </w:rPr>
        <w:t>Марії Капніст</w:t>
      </w:r>
      <w:r w:rsidRPr="00190B0A">
        <w:rPr>
          <w:sz w:val="22"/>
          <w:szCs w:val="22"/>
          <w:lang w:val="uk-UA"/>
        </w:rPr>
        <w:t>, 2а, Київ, 03</w:t>
      </w:r>
      <w:r w:rsidR="00B97617" w:rsidRPr="00190B0A">
        <w:rPr>
          <w:sz w:val="22"/>
          <w:szCs w:val="22"/>
          <w:lang w:val="uk-UA"/>
        </w:rPr>
        <w:t>057</w:t>
      </w:r>
      <w:r w:rsidRPr="00190B0A">
        <w:rPr>
          <w:sz w:val="22"/>
          <w:szCs w:val="22"/>
          <w:lang w:val="uk-UA"/>
        </w:rPr>
        <w:t>, Україна</w:t>
      </w:r>
    </w:p>
    <w:p w14:paraId="5F61DB1F" w14:textId="77777777" w:rsidR="006A5BC9" w:rsidRPr="00315EB4" w:rsidRDefault="006A5BC9" w:rsidP="00963274">
      <w:pPr>
        <w:spacing w:line="360" w:lineRule="auto"/>
        <w:jc w:val="both"/>
        <w:rPr>
          <w:b/>
          <w:sz w:val="22"/>
          <w:szCs w:val="22"/>
          <w:highlight w:val="yellow"/>
          <w:lang w:val="uk-UA"/>
        </w:rPr>
      </w:pPr>
    </w:p>
    <w:p w14:paraId="48200B1A" w14:textId="38F0E3F5" w:rsidR="008F7F5E" w:rsidRPr="00315EB4" w:rsidRDefault="00107191" w:rsidP="005A36BB">
      <w:pPr>
        <w:widowControl w:val="0"/>
        <w:spacing w:line="360" w:lineRule="auto"/>
        <w:jc w:val="both"/>
        <w:rPr>
          <w:sz w:val="22"/>
          <w:szCs w:val="22"/>
          <w:highlight w:val="yellow"/>
          <w:lang w:val="uk-UA"/>
        </w:rPr>
      </w:pPr>
      <w:r w:rsidRPr="00107191">
        <w:rPr>
          <w:sz w:val="22"/>
          <w:szCs w:val="22"/>
          <w:lang w:val="uk-UA"/>
        </w:rPr>
        <w:t>Метою</w:t>
      </w:r>
      <w:r w:rsidRPr="00CF2D1D">
        <w:rPr>
          <w:sz w:val="22"/>
          <w:szCs w:val="22"/>
          <w:lang w:val="uk-UA"/>
        </w:rPr>
        <w:t xml:space="preserve"> роботи є розробка рекомендацій для України щодо прискорення залучення біопалив у транспортний </w:t>
      </w:r>
      <w:r w:rsidRPr="00107191">
        <w:rPr>
          <w:sz w:val="22"/>
          <w:szCs w:val="22"/>
          <w:lang w:val="uk-UA"/>
        </w:rPr>
        <w:t>сектор.</w:t>
      </w:r>
      <w:r w:rsidR="00220DB4" w:rsidRPr="00107191">
        <w:rPr>
          <w:sz w:val="22"/>
          <w:szCs w:val="22"/>
          <w:lang w:val="uk-UA"/>
        </w:rPr>
        <w:t xml:space="preserve"> </w:t>
      </w:r>
      <w:r w:rsidR="001A0CE9" w:rsidRPr="00107191">
        <w:rPr>
          <w:sz w:val="22"/>
          <w:szCs w:val="22"/>
          <w:lang w:val="uk-UA"/>
        </w:rPr>
        <w:t xml:space="preserve">Проаналізовано </w:t>
      </w:r>
      <w:r w:rsidRPr="00107191">
        <w:rPr>
          <w:sz w:val="22"/>
          <w:szCs w:val="22"/>
          <w:lang w:val="uk-UA"/>
        </w:rPr>
        <w:t xml:space="preserve">поточний стан та перспективи запровадження відновлюваної енергії у галузі транспорту </w:t>
      </w:r>
      <w:r w:rsidRPr="007B7AE7">
        <w:rPr>
          <w:sz w:val="22"/>
          <w:szCs w:val="22"/>
          <w:lang w:val="uk-UA"/>
        </w:rPr>
        <w:t xml:space="preserve">Євросоюзу. </w:t>
      </w:r>
      <w:r w:rsidR="007B7AE7" w:rsidRPr="007B7AE7">
        <w:rPr>
          <w:sz w:val="22"/>
          <w:szCs w:val="22"/>
          <w:lang w:val="uk-UA"/>
        </w:rPr>
        <w:t xml:space="preserve">Показано, що виконання амбітної мети Європейського зеленого курсу по досягненню кліматичної нейтральності Європи до 2050 року у багатьом залежить від успішності </w:t>
      </w:r>
      <w:r w:rsidR="007B7AE7">
        <w:rPr>
          <w:sz w:val="22"/>
          <w:szCs w:val="22"/>
          <w:lang w:val="uk-UA"/>
        </w:rPr>
        <w:t xml:space="preserve">скорочення викидів діоксиду вуглецю на транспорті. Цей сектор у порівнянні з іншими найважче піддається </w:t>
      </w:r>
      <w:r w:rsidR="007B7AE7" w:rsidRPr="007B7AE7">
        <w:rPr>
          <w:sz w:val="22"/>
          <w:szCs w:val="22"/>
          <w:lang w:val="uk-UA"/>
        </w:rPr>
        <w:t>декарбонізації</w:t>
      </w:r>
      <w:r w:rsidR="00045940">
        <w:rPr>
          <w:sz w:val="22"/>
          <w:szCs w:val="22"/>
          <w:lang w:val="uk-UA"/>
        </w:rPr>
        <w:t xml:space="preserve">, тому в </w:t>
      </w:r>
      <w:r w:rsidR="00045940" w:rsidRPr="007B7AE7">
        <w:rPr>
          <w:sz w:val="22"/>
          <w:szCs w:val="22"/>
          <w:lang w:val="uk-UA"/>
        </w:rPr>
        <w:t>Європейсько</w:t>
      </w:r>
      <w:r w:rsidR="00045940">
        <w:rPr>
          <w:sz w:val="22"/>
          <w:szCs w:val="22"/>
          <w:lang w:val="uk-UA"/>
        </w:rPr>
        <w:t>му</w:t>
      </w:r>
      <w:r w:rsidR="00045940" w:rsidRPr="007B7AE7">
        <w:rPr>
          <w:sz w:val="22"/>
          <w:szCs w:val="22"/>
          <w:lang w:val="uk-UA"/>
        </w:rPr>
        <w:t xml:space="preserve"> зелено</w:t>
      </w:r>
      <w:r w:rsidR="00045940">
        <w:rPr>
          <w:sz w:val="22"/>
          <w:szCs w:val="22"/>
          <w:lang w:val="uk-UA"/>
        </w:rPr>
        <w:t>му</w:t>
      </w:r>
      <w:r w:rsidR="00045940" w:rsidRPr="007B7AE7">
        <w:rPr>
          <w:sz w:val="22"/>
          <w:szCs w:val="22"/>
          <w:lang w:val="uk-UA"/>
        </w:rPr>
        <w:t xml:space="preserve"> курс</w:t>
      </w:r>
      <w:r w:rsidR="00045940">
        <w:rPr>
          <w:sz w:val="22"/>
          <w:szCs w:val="22"/>
          <w:lang w:val="uk-UA"/>
        </w:rPr>
        <w:t>і йому присвячена окрема увага</w:t>
      </w:r>
      <w:r w:rsidR="001A0CE9" w:rsidRPr="007B7AE7">
        <w:rPr>
          <w:sz w:val="22"/>
          <w:szCs w:val="22"/>
          <w:lang w:val="uk-UA"/>
        </w:rPr>
        <w:t xml:space="preserve">. </w:t>
      </w:r>
      <w:r w:rsidR="007B7AE7" w:rsidRPr="007B7AE7">
        <w:rPr>
          <w:sz w:val="22"/>
          <w:szCs w:val="22"/>
          <w:lang w:val="uk-UA"/>
        </w:rPr>
        <w:t xml:space="preserve">В Україні аналогічна ситуація – в галузі транспорту запровадження відновлюваної енергії відбувається найповільніше порівняно з </w:t>
      </w:r>
      <w:r w:rsidR="007B7AE7">
        <w:rPr>
          <w:sz w:val="22"/>
          <w:szCs w:val="22"/>
          <w:lang w:val="uk-UA"/>
        </w:rPr>
        <w:t xml:space="preserve">секторами </w:t>
      </w:r>
      <w:r w:rsidR="007B7AE7" w:rsidRPr="007B7AE7">
        <w:rPr>
          <w:sz w:val="22"/>
          <w:szCs w:val="22"/>
          <w:lang w:val="uk-UA"/>
        </w:rPr>
        <w:t>виробництв</w:t>
      </w:r>
      <w:r w:rsidR="007B7AE7">
        <w:rPr>
          <w:sz w:val="22"/>
          <w:szCs w:val="22"/>
          <w:lang w:val="uk-UA"/>
        </w:rPr>
        <w:t>а</w:t>
      </w:r>
      <w:r w:rsidR="007B7AE7" w:rsidRPr="007B7AE7">
        <w:rPr>
          <w:sz w:val="22"/>
          <w:szCs w:val="22"/>
          <w:lang w:val="uk-UA"/>
        </w:rPr>
        <w:t xml:space="preserve"> електроенергії і тепла</w:t>
      </w:r>
      <w:r w:rsidR="001C48A5" w:rsidRPr="007B7AE7">
        <w:rPr>
          <w:sz w:val="22"/>
          <w:szCs w:val="22"/>
          <w:lang w:val="uk-UA"/>
        </w:rPr>
        <w:t xml:space="preserve">. </w:t>
      </w:r>
      <w:r w:rsidR="00FB29DA">
        <w:rPr>
          <w:sz w:val="22"/>
          <w:szCs w:val="22"/>
          <w:lang w:val="uk-UA"/>
        </w:rPr>
        <w:t xml:space="preserve">Для ефективного залучення </w:t>
      </w:r>
      <w:r w:rsidR="0087239D">
        <w:rPr>
          <w:sz w:val="22"/>
          <w:szCs w:val="22"/>
          <w:lang w:val="uk-UA"/>
        </w:rPr>
        <w:t>відновлюваних джерел енергії</w:t>
      </w:r>
      <w:r w:rsidR="00FB29DA">
        <w:rPr>
          <w:sz w:val="22"/>
          <w:szCs w:val="22"/>
          <w:lang w:val="uk-UA"/>
        </w:rPr>
        <w:t xml:space="preserve"> у сектор транспорту рекомендується проведення послідовної політики стимулювання цього сектору з урахуванням прикладу ЄС та окремих країн-членів</w:t>
      </w:r>
      <w:r w:rsidR="00045940">
        <w:rPr>
          <w:sz w:val="22"/>
          <w:szCs w:val="22"/>
          <w:lang w:val="uk-UA"/>
        </w:rPr>
        <w:t>. Так, в</w:t>
      </w:r>
      <w:r w:rsidR="0072557A">
        <w:rPr>
          <w:sz w:val="22"/>
          <w:szCs w:val="22"/>
          <w:lang w:val="uk-UA"/>
        </w:rPr>
        <w:t xml:space="preserve"> </w:t>
      </w:r>
      <w:r w:rsidR="0072557A">
        <w:rPr>
          <w:bCs/>
          <w:sz w:val="22"/>
          <w:szCs w:val="22"/>
          <w:lang w:val="uk-UA" w:eastAsia="en-US"/>
        </w:rPr>
        <w:t>Швеції вже досягнуто близько 30% споживання відновлюваної енергії на транспорті</w:t>
      </w:r>
      <w:r w:rsidR="00045940">
        <w:rPr>
          <w:bCs/>
          <w:sz w:val="22"/>
          <w:szCs w:val="22"/>
          <w:lang w:val="uk-UA" w:eastAsia="en-US"/>
        </w:rPr>
        <w:t>, що є найвищим показником в ЄС</w:t>
      </w:r>
      <w:r w:rsidR="0072557A">
        <w:rPr>
          <w:bCs/>
          <w:sz w:val="22"/>
          <w:szCs w:val="22"/>
          <w:lang w:val="uk-UA" w:eastAsia="en-US"/>
        </w:rPr>
        <w:t xml:space="preserve">. Основними механізмами, які сприяли цьому, є давно уведені енергетичний та вуглецевий податки на викопні палива. </w:t>
      </w:r>
      <w:r w:rsidR="00FB29DA">
        <w:rPr>
          <w:sz w:val="22"/>
          <w:szCs w:val="22"/>
          <w:lang w:val="uk-UA"/>
        </w:rPr>
        <w:t xml:space="preserve">Враховуючи вимоги сталості до біопалив </w:t>
      </w:r>
      <w:r w:rsidR="00CC6923">
        <w:rPr>
          <w:sz w:val="22"/>
          <w:szCs w:val="22"/>
          <w:lang w:val="uk-UA"/>
        </w:rPr>
        <w:t xml:space="preserve">європейської </w:t>
      </w:r>
      <w:r w:rsidR="00FB29DA">
        <w:rPr>
          <w:sz w:val="22"/>
          <w:szCs w:val="22"/>
          <w:lang w:val="uk-UA"/>
        </w:rPr>
        <w:t xml:space="preserve">Директиви </w:t>
      </w:r>
      <w:r w:rsidR="00FB29DA">
        <w:rPr>
          <w:sz w:val="22"/>
          <w:szCs w:val="22"/>
          <w:lang w:val="en-US"/>
        </w:rPr>
        <w:t>RED</w:t>
      </w:r>
      <w:r w:rsidR="00FB29DA" w:rsidRPr="006F3999">
        <w:rPr>
          <w:sz w:val="22"/>
          <w:szCs w:val="22"/>
          <w:lang w:val="uk-UA"/>
        </w:rPr>
        <w:t xml:space="preserve"> </w:t>
      </w:r>
      <w:r w:rsidR="00FB29DA">
        <w:rPr>
          <w:sz w:val="22"/>
          <w:szCs w:val="22"/>
          <w:lang w:val="en-US"/>
        </w:rPr>
        <w:t>II</w:t>
      </w:r>
      <w:r w:rsidR="00FB29DA">
        <w:rPr>
          <w:sz w:val="22"/>
          <w:szCs w:val="22"/>
          <w:lang w:val="uk-UA"/>
        </w:rPr>
        <w:t xml:space="preserve">, яка в майбутньому може стати обов’язковою для виконання в Україні, </w:t>
      </w:r>
      <w:r w:rsidR="0072557A">
        <w:rPr>
          <w:sz w:val="22"/>
          <w:szCs w:val="22"/>
          <w:lang w:val="uk-UA"/>
        </w:rPr>
        <w:t xml:space="preserve">вже сьогодні </w:t>
      </w:r>
      <w:r w:rsidR="00FB29DA">
        <w:rPr>
          <w:sz w:val="22"/>
          <w:szCs w:val="22"/>
          <w:lang w:val="uk-UA"/>
        </w:rPr>
        <w:t>є сенс досліджувати можливості і запроваджувати підтримку виробництва біопалив другого покоління</w:t>
      </w:r>
      <w:r w:rsidR="00D043A5">
        <w:rPr>
          <w:sz w:val="22"/>
          <w:szCs w:val="22"/>
          <w:lang w:val="uk-UA"/>
        </w:rPr>
        <w:t xml:space="preserve"> в </w:t>
      </w:r>
      <w:r w:rsidR="00B475B4">
        <w:rPr>
          <w:sz w:val="22"/>
          <w:szCs w:val="22"/>
          <w:lang w:val="uk-UA"/>
        </w:rPr>
        <w:t>У</w:t>
      </w:r>
      <w:r w:rsidR="00D043A5">
        <w:rPr>
          <w:sz w:val="22"/>
          <w:szCs w:val="22"/>
          <w:lang w:val="uk-UA"/>
        </w:rPr>
        <w:t>країні</w:t>
      </w:r>
      <w:r w:rsidR="00FB29DA">
        <w:rPr>
          <w:sz w:val="22"/>
          <w:szCs w:val="22"/>
          <w:lang w:val="uk-UA"/>
        </w:rPr>
        <w:t>.</w:t>
      </w:r>
    </w:p>
    <w:p w14:paraId="7D13A62B" w14:textId="02F3F58D" w:rsidR="007B16AA" w:rsidRPr="007B2227" w:rsidRDefault="007B16AA" w:rsidP="007B16AA">
      <w:pPr>
        <w:spacing w:line="360" w:lineRule="auto"/>
        <w:rPr>
          <w:sz w:val="22"/>
          <w:szCs w:val="22"/>
          <w:lang w:val="uk-UA"/>
        </w:rPr>
      </w:pPr>
      <w:r w:rsidRPr="007B2227">
        <w:rPr>
          <w:sz w:val="22"/>
          <w:szCs w:val="22"/>
          <w:lang w:val="uk-UA"/>
        </w:rPr>
        <w:t xml:space="preserve">Бібл. 15, табл. </w:t>
      </w:r>
      <w:r w:rsidR="007B2227" w:rsidRPr="007B2227">
        <w:rPr>
          <w:sz w:val="22"/>
          <w:szCs w:val="22"/>
          <w:lang w:val="uk-UA"/>
        </w:rPr>
        <w:t>3</w:t>
      </w:r>
      <w:r w:rsidRPr="007B2227">
        <w:rPr>
          <w:sz w:val="22"/>
          <w:szCs w:val="22"/>
          <w:lang w:val="uk-UA"/>
        </w:rPr>
        <w:t xml:space="preserve">, рис. </w:t>
      </w:r>
      <w:r w:rsidR="007B2227" w:rsidRPr="007B2227">
        <w:rPr>
          <w:sz w:val="22"/>
          <w:szCs w:val="22"/>
          <w:lang w:val="uk-UA"/>
        </w:rPr>
        <w:t>4</w:t>
      </w:r>
      <w:r w:rsidRPr="007B2227">
        <w:rPr>
          <w:sz w:val="22"/>
          <w:szCs w:val="22"/>
          <w:lang w:val="uk-UA"/>
        </w:rPr>
        <w:t>.</w:t>
      </w:r>
    </w:p>
    <w:p w14:paraId="6DCE45A9" w14:textId="77777777" w:rsidR="009E3135" w:rsidRPr="00315EB4" w:rsidRDefault="009E3135" w:rsidP="00963274">
      <w:pPr>
        <w:spacing w:line="360" w:lineRule="auto"/>
        <w:jc w:val="both"/>
        <w:rPr>
          <w:sz w:val="22"/>
          <w:szCs w:val="22"/>
          <w:highlight w:val="yellow"/>
          <w:lang w:val="uk-UA"/>
        </w:rPr>
      </w:pPr>
    </w:p>
    <w:p w14:paraId="416B851E" w14:textId="77777777" w:rsidR="00A81714" w:rsidRPr="000B5050" w:rsidRDefault="00A81714" w:rsidP="00A81714">
      <w:pPr>
        <w:spacing w:line="360" w:lineRule="auto"/>
        <w:jc w:val="both"/>
        <w:rPr>
          <w:sz w:val="22"/>
          <w:szCs w:val="22"/>
          <w:lang w:val="uk-UA"/>
        </w:rPr>
      </w:pPr>
      <w:r w:rsidRPr="000B5050">
        <w:rPr>
          <w:b/>
          <w:sz w:val="22"/>
          <w:szCs w:val="22"/>
          <w:lang w:val="uk-UA"/>
        </w:rPr>
        <w:t>Ключові слова:</w:t>
      </w:r>
      <w:r w:rsidRPr="000B5050">
        <w:rPr>
          <w:sz w:val="22"/>
          <w:szCs w:val="22"/>
          <w:lang w:val="uk-UA"/>
        </w:rPr>
        <w:t xml:space="preserve"> відновлювана енергетика, відновлювані джерела енергії, біомаса, біопалива</w:t>
      </w:r>
      <w:r w:rsidRPr="007B2227">
        <w:rPr>
          <w:sz w:val="22"/>
          <w:szCs w:val="22"/>
          <w:lang w:val="uk-UA"/>
        </w:rPr>
        <w:t>,</w:t>
      </w:r>
      <w:r w:rsidRPr="000B5050">
        <w:rPr>
          <w:sz w:val="22"/>
          <w:szCs w:val="22"/>
          <w:lang w:val="uk-UA"/>
        </w:rPr>
        <w:t xml:space="preserve"> біогаз, біоетанол, біодизель.</w:t>
      </w:r>
    </w:p>
    <w:p w14:paraId="1F4AA12B" w14:textId="77777777" w:rsidR="009E3135" w:rsidRPr="00315EB4" w:rsidRDefault="009E3135" w:rsidP="00963274">
      <w:pPr>
        <w:spacing w:line="360" w:lineRule="auto"/>
        <w:jc w:val="both"/>
        <w:rPr>
          <w:sz w:val="22"/>
          <w:szCs w:val="22"/>
          <w:highlight w:val="yellow"/>
          <w:lang w:val="uk-UA"/>
        </w:rPr>
      </w:pPr>
    </w:p>
    <w:p w14:paraId="0D15A6D2" w14:textId="77777777" w:rsidR="00BB5194" w:rsidRPr="00EA5A96" w:rsidRDefault="00BB5194" w:rsidP="00963274">
      <w:pPr>
        <w:spacing w:line="360" w:lineRule="auto"/>
        <w:jc w:val="center"/>
        <w:rPr>
          <w:sz w:val="22"/>
          <w:szCs w:val="22"/>
          <w:lang w:val="uk-UA"/>
        </w:rPr>
      </w:pPr>
      <w:r w:rsidRPr="00EA5A96">
        <w:rPr>
          <w:sz w:val="22"/>
          <w:szCs w:val="22"/>
          <w:lang w:val="uk-UA"/>
        </w:rPr>
        <w:t>ЛІТЕРАТУРА</w:t>
      </w:r>
    </w:p>
    <w:p w14:paraId="65F27777" w14:textId="77777777" w:rsidR="00EA5A96" w:rsidRPr="00E36592" w:rsidRDefault="00EA5A96" w:rsidP="00EA5A96">
      <w:pPr>
        <w:tabs>
          <w:tab w:val="left" w:pos="426"/>
        </w:tabs>
        <w:spacing w:line="360" w:lineRule="auto"/>
        <w:ind w:left="426" w:hanging="426"/>
        <w:jc w:val="both"/>
        <w:rPr>
          <w:color w:val="323232"/>
          <w:lang w:val="en-US"/>
        </w:rPr>
      </w:pPr>
      <w:r w:rsidRPr="00E36592">
        <w:rPr>
          <w:bCs/>
          <w:lang w:val="en-GB" w:eastAsia="en-US"/>
        </w:rPr>
        <w:t xml:space="preserve">1. </w:t>
      </w:r>
      <w:r w:rsidRPr="00E36592">
        <w:rPr>
          <w:bCs/>
          <w:lang w:val="en-GB" w:eastAsia="en-US"/>
        </w:rPr>
        <w:tab/>
      </w:r>
      <w:r w:rsidRPr="00E36592">
        <w:rPr>
          <w:i/>
          <w:lang w:val="en-US"/>
        </w:rPr>
        <w:t>The European Green Deal</w:t>
      </w:r>
      <w:r w:rsidRPr="00E36592">
        <w:rPr>
          <w:lang w:val="en-US"/>
        </w:rPr>
        <w:t>. Communication from the Commission, COM(2019) 640 final, 2019</w:t>
      </w:r>
      <w:r w:rsidRPr="00E36592">
        <w:rPr>
          <w:color w:val="323232"/>
          <w:lang w:val="en-US"/>
        </w:rPr>
        <w:t xml:space="preserve">. </w:t>
      </w:r>
    </w:p>
    <w:p w14:paraId="21DDF888" w14:textId="77777777" w:rsidR="00EA5A96" w:rsidRPr="00315EB4" w:rsidRDefault="00EA5A96" w:rsidP="00EA5A96">
      <w:pPr>
        <w:tabs>
          <w:tab w:val="left" w:pos="426"/>
        </w:tabs>
        <w:spacing w:line="360" w:lineRule="auto"/>
        <w:ind w:left="426" w:hanging="426"/>
        <w:jc w:val="both"/>
        <w:rPr>
          <w:highlight w:val="yellow"/>
          <w:lang w:val="en-US"/>
        </w:rPr>
      </w:pPr>
      <w:r>
        <w:rPr>
          <w:lang w:val="en-US"/>
        </w:rPr>
        <w:tab/>
      </w:r>
      <w:hyperlink r:id="rId58" w:history="1">
        <w:r w:rsidRPr="00AB362B">
          <w:rPr>
            <w:rStyle w:val="ac"/>
            <w:lang w:val="en-US"/>
          </w:rPr>
          <w:t>https://eur-lex.europa.eu/legal-content/EN/TXT/?uri=CELEX%3A52019DC0640&amp;qid=1603445111690</w:t>
        </w:r>
      </w:hyperlink>
    </w:p>
    <w:p w14:paraId="5B944D40" w14:textId="77777777" w:rsidR="00EA5A96" w:rsidRPr="00C00BFF" w:rsidRDefault="00EA5A96" w:rsidP="00EA5A96">
      <w:pPr>
        <w:tabs>
          <w:tab w:val="left" w:pos="426"/>
        </w:tabs>
        <w:spacing w:line="360" w:lineRule="auto"/>
        <w:ind w:left="426" w:hanging="426"/>
        <w:jc w:val="both"/>
        <w:rPr>
          <w:bCs/>
          <w:lang w:val="uk-UA" w:eastAsia="en-US"/>
        </w:rPr>
      </w:pPr>
      <w:r w:rsidRPr="00D626E4">
        <w:rPr>
          <w:bCs/>
          <w:lang w:val="uk-UA" w:eastAsia="en-US"/>
        </w:rPr>
        <w:t>2</w:t>
      </w:r>
      <w:r w:rsidRPr="00D626E4">
        <w:rPr>
          <w:bCs/>
          <w:lang w:val="en-GB" w:eastAsia="en-US"/>
        </w:rPr>
        <w:t xml:space="preserve">. </w:t>
      </w:r>
      <w:r w:rsidRPr="00D626E4">
        <w:rPr>
          <w:bCs/>
          <w:lang w:val="en-GB" w:eastAsia="en-US"/>
        </w:rPr>
        <w:tab/>
      </w:r>
      <w:r w:rsidRPr="00DD26F3">
        <w:rPr>
          <w:i/>
          <w:lang w:val="en-GB"/>
        </w:rPr>
        <w:t>Directive 2009/28/EС</w:t>
      </w:r>
      <w:r w:rsidRPr="00D626E4">
        <w:rPr>
          <w:lang w:val="en-GB"/>
        </w:rPr>
        <w:t xml:space="preserve"> of the European Parliament and of the Council of 23 April 2009 on the promotion of the use of energy from renewable sources, 2009. Date of end of validity: 30/06/2021.</w:t>
      </w:r>
      <w:r>
        <w:rPr>
          <w:lang w:val="uk-UA"/>
        </w:rPr>
        <w:t xml:space="preserve"> </w:t>
      </w:r>
    </w:p>
    <w:p w14:paraId="636473E7" w14:textId="77777777" w:rsidR="00EA5A96" w:rsidRPr="00315EB4" w:rsidRDefault="00C3754C" w:rsidP="00EA5A96">
      <w:pPr>
        <w:tabs>
          <w:tab w:val="left" w:pos="426"/>
        </w:tabs>
        <w:spacing w:line="360" w:lineRule="auto"/>
        <w:ind w:left="426"/>
        <w:jc w:val="both"/>
        <w:rPr>
          <w:highlight w:val="yellow"/>
          <w:lang w:val="en-US"/>
        </w:rPr>
      </w:pPr>
      <w:hyperlink r:id="rId59" w:history="1">
        <w:r w:rsidR="00EA5A96" w:rsidRPr="00AB362B">
          <w:rPr>
            <w:rStyle w:val="ac"/>
            <w:lang w:val="en-US"/>
          </w:rPr>
          <w:t>https://eur-lex.europa.eu/eli/dir/2009/28/oj</w:t>
        </w:r>
      </w:hyperlink>
    </w:p>
    <w:p w14:paraId="1FBF5517" w14:textId="77777777" w:rsidR="00EA5A96" w:rsidRPr="00C00BFF" w:rsidRDefault="00EA5A96" w:rsidP="00EA5A96">
      <w:pPr>
        <w:tabs>
          <w:tab w:val="left" w:pos="426"/>
        </w:tabs>
        <w:spacing w:line="360" w:lineRule="auto"/>
        <w:ind w:left="426" w:hanging="426"/>
        <w:jc w:val="both"/>
        <w:rPr>
          <w:lang w:val="uk-UA"/>
        </w:rPr>
      </w:pPr>
      <w:r w:rsidRPr="004E618F">
        <w:rPr>
          <w:bCs/>
          <w:lang w:val="uk-UA" w:eastAsia="en-US"/>
        </w:rPr>
        <w:t>3</w:t>
      </w:r>
      <w:r w:rsidRPr="004E618F">
        <w:rPr>
          <w:bCs/>
          <w:lang w:val="en-GB" w:eastAsia="en-US"/>
        </w:rPr>
        <w:t xml:space="preserve">. </w:t>
      </w:r>
      <w:r w:rsidRPr="004E618F">
        <w:rPr>
          <w:bCs/>
          <w:lang w:val="en-GB" w:eastAsia="en-US"/>
        </w:rPr>
        <w:tab/>
      </w:r>
      <w:r w:rsidRPr="004E618F">
        <w:rPr>
          <w:i/>
          <w:lang w:val="en-US"/>
        </w:rPr>
        <w:t>Directive (EU) 2018/2001</w:t>
      </w:r>
      <w:r w:rsidRPr="004E618F">
        <w:rPr>
          <w:lang w:val="en-US"/>
        </w:rPr>
        <w:t xml:space="preserve"> of the European Parliament and of the Council of 11 December 2018 on the promotion of the use of energy from renewable sources (recast), 2018.</w:t>
      </w:r>
      <w:r>
        <w:rPr>
          <w:lang w:val="uk-UA"/>
        </w:rPr>
        <w:t xml:space="preserve"> </w:t>
      </w:r>
    </w:p>
    <w:p w14:paraId="0A30039D" w14:textId="77777777" w:rsidR="00EA5A96" w:rsidRPr="003F0106" w:rsidRDefault="00EA5A96" w:rsidP="00EA5A96">
      <w:pPr>
        <w:tabs>
          <w:tab w:val="left" w:pos="426"/>
          <w:tab w:val="left" w:pos="5188"/>
        </w:tabs>
        <w:spacing w:line="360" w:lineRule="auto"/>
        <w:ind w:left="426" w:hanging="426"/>
        <w:jc w:val="both"/>
        <w:rPr>
          <w:lang w:val="uk-UA"/>
        </w:rPr>
      </w:pPr>
      <w:r w:rsidRPr="003F0106">
        <w:rPr>
          <w:lang w:val="uk-UA"/>
        </w:rPr>
        <w:lastRenderedPageBreak/>
        <w:tab/>
      </w:r>
      <w:hyperlink r:id="rId60" w:history="1">
        <w:r w:rsidRPr="003F0106">
          <w:rPr>
            <w:rStyle w:val="ac"/>
          </w:rPr>
          <w:t>https</w:t>
        </w:r>
        <w:r w:rsidRPr="003F0106">
          <w:rPr>
            <w:rStyle w:val="ac"/>
            <w:lang w:val="uk-UA"/>
          </w:rPr>
          <w:t>://</w:t>
        </w:r>
        <w:r w:rsidRPr="003F0106">
          <w:rPr>
            <w:rStyle w:val="ac"/>
          </w:rPr>
          <w:t>eur</w:t>
        </w:r>
        <w:r w:rsidRPr="003F0106">
          <w:rPr>
            <w:rStyle w:val="ac"/>
            <w:lang w:val="uk-UA"/>
          </w:rPr>
          <w:t>-</w:t>
        </w:r>
        <w:r w:rsidRPr="003F0106">
          <w:rPr>
            <w:rStyle w:val="ac"/>
          </w:rPr>
          <w:t>lex</w:t>
        </w:r>
        <w:r w:rsidRPr="003F0106">
          <w:rPr>
            <w:rStyle w:val="ac"/>
            <w:lang w:val="uk-UA"/>
          </w:rPr>
          <w:t>.</w:t>
        </w:r>
        <w:r w:rsidRPr="003F0106">
          <w:rPr>
            <w:rStyle w:val="ac"/>
          </w:rPr>
          <w:t>europa</w:t>
        </w:r>
        <w:r w:rsidRPr="003F0106">
          <w:rPr>
            <w:rStyle w:val="ac"/>
            <w:lang w:val="uk-UA"/>
          </w:rPr>
          <w:t>.</w:t>
        </w:r>
        <w:r w:rsidRPr="003F0106">
          <w:rPr>
            <w:rStyle w:val="ac"/>
          </w:rPr>
          <w:t>eu</w:t>
        </w:r>
        <w:r w:rsidRPr="003F0106">
          <w:rPr>
            <w:rStyle w:val="ac"/>
            <w:lang w:val="uk-UA"/>
          </w:rPr>
          <w:t>/</w:t>
        </w:r>
        <w:r w:rsidRPr="003F0106">
          <w:rPr>
            <w:rStyle w:val="ac"/>
          </w:rPr>
          <w:t>eli</w:t>
        </w:r>
        <w:r w:rsidRPr="003F0106">
          <w:rPr>
            <w:rStyle w:val="ac"/>
            <w:lang w:val="uk-UA"/>
          </w:rPr>
          <w:t>/</w:t>
        </w:r>
        <w:r w:rsidRPr="003F0106">
          <w:rPr>
            <w:rStyle w:val="ac"/>
          </w:rPr>
          <w:t>dir</w:t>
        </w:r>
        <w:r w:rsidRPr="003F0106">
          <w:rPr>
            <w:rStyle w:val="ac"/>
            <w:lang w:val="uk-UA"/>
          </w:rPr>
          <w:t>/2018/2001/2018-12-21</w:t>
        </w:r>
      </w:hyperlink>
    </w:p>
    <w:p w14:paraId="6F07509C" w14:textId="77777777" w:rsidR="00EA5A96" w:rsidRPr="00C00BFF" w:rsidRDefault="00EA5A96" w:rsidP="00EA5A96">
      <w:pPr>
        <w:tabs>
          <w:tab w:val="left" w:pos="426"/>
        </w:tabs>
        <w:spacing w:line="360" w:lineRule="auto"/>
        <w:ind w:left="426" w:hanging="426"/>
        <w:jc w:val="both"/>
        <w:rPr>
          <w:lang w:val="uk-UA"/>
        </w:rPr>
      </w:pPr>
      <w:r w:rsidRPr="001E3AE5">
        <w:rPr>
          <w:lang w:val="en-US"/>
        </w:rPr>
        <w:t xml:space="preserve">4. </w:t>
      </w:r>
      <w:r w:rsidRPr="001E3AE5">
        <w:rPr>
          <w:lang w:val="en-US"/>
        </w:rPr>
        <w:tab/>
      </w:r>
      <w:r w:rsidRPr="001E3AE5">
        <w:rPr>
          <w:i/>
          <w:lang w:val="en-US"/>
        </w:rPr>
        <w:t>Biofuels</w:t>
      </w:r>
      <w:r w:rsidRPr="001E3AE5">
        <w:rPr>
          <w:lang w:val="uk-UA"/>
        </w:rPr>
        <w:t>.</w:t>
      </w:r>
      <w:r w:rsidRPr="001E3AE5">
        <w:rPr>
          <w:lang w:val="en-US"/>
        </w:rPr>
        <w:t xml:space="preserve"> Bioenergy Europe Statistical Report, 2020.</w:t>
      </w:r>
      <w:r>
        <w:rPr>
          <w:lang w:val="uk-UA"/>
        </w:rPr>
        <w:t xml:space="preserve"> </w:t>
      </w:r>
    </w:p>
    <w:p w14:paraId="06AC61D1" w14:textId="77777777" w:rsidR="00EA5A96" w:rsidRPr="00EA5A96" w:rsidRDefault="00C3754C" w:rsidP="00EA5A96">
      <w:pPr>
        <w:tabs>
          <w:tab w:val="left" w:pos="426"/>
        </w:tabs>
        <w:spacing w:line="360" w:lineRule="auto"/>
        <w:ind w:left="426"/>
        <w:jc w:val="both"/>
        <w:rPr>
          <w:highlight w:val="yellow"/>
          <w:lang w:val="uk-UA"/>
        </w:rPr>
      </w:pPr>
      <w:hyperlink r:id="rId61" w:history="1">
        <w:r w:rsidR="00EA5A96" w:rsidRPr="001E3AE5">
          <w:rPr>
            <w:rStyle w:val="ac"/>
            <w:lang w:val="en-US"/>
          </w:rPr>
          <w:t>https</w:t>
        </w:r>
        <w:r w:rsidR="00EA5A96" w:rsidRPr="00EA5A96">
          <w:rPr>
            <w:rStyle w:val="ac"/>
            <w:lang w:val="uk-UA"/>
          </w:rPr>
          <w:t>://</w:t>
        </w:r>
        <w:r w:rsidR="00EA5A96" w:rsidRPr="001E3AE5">
          <w:rPr>
            <w:rStyle w:val="ac"/>
            <w:lang w:val="en-US"/>
          </w:rPr>
          <w:t>bioenergyeurope</w:t>
        </w:r>
        <w:r w:rsidR="00EA5A96" w:rsidRPr="00EA5A96">
          <w:rPr>
            <w:rStyle w:val="ac"/>
            <w:lang w:val="uk-UA"/>
          </w:rPr>
          <w:t>.</w:t>
        </w:r>
        <w:r w:rsidR="00EA5A96" w:rsidRPr="001E3AE5">
          <w:rPr>
            <w:rStyle w:val="ac"/>
            <w:lang w:val="en-US"/>
          </w:rPr>
          <w:t>org</w:t>
        </w:r>
        <w:r w:rsidR="00EA5A96" w:rsidRPr="00EA5A96">
          <w:rPr>
            <w:rStyle w:val="ac"/>
            <w:lang w:val="uk-UA"/>
          </w:rPr>
          <w:t>/29-</w:t>
        </w:r>
        <w:r w:rsidR="00EA5A96" w:rsidRPr="001E3AE5">
          <w:rPr>
            <w:rStyle w:val="ac"/>
            <w:lang w:val="en-US"/>
          </w:rPr>
          <w:t>statistical</w:t>
        </w:r>
        <w:r w:rsidR="00EA5A96" w:rsidRPr="00EA5A96">
          <w:rPr>
            <w:rStyle w:val="ac"/>
            <w:lang w:val="uk-UA"/>
          </w:rPr>
          <w:t>-</w:t>
        </w:r>
        <w:r w:rsidR="00EA5A96" w:rsidRPr="001E3AE5">
          <w:rPr>
            <w:rStyle w:val="ac"/>
            <w:lang w:val="en-US"/>
          </w:rPr>
          <w:t>reports</w:t>
        </w:r>
        <w:r w:rsidR="00EA5A96" w:rsidRPr="00EA5A96">
          <w:rPr>
            <w:rStyle w:val="ac"/>
            <w:lang w:val="uk-UA"/>
          </w:rPr>
          <w:t>/252-</w:t>
        </w:r>
        <w:r w:rsidR="00EA5A96" w:rsidRPr="001E3AE5">
          <w:rPr>
            <w:rStyle w:val="ac"/>
            <w:lang w:val="en-US"/>
          </w:rPr>
          <w:t>biofuels</w:t>
        </w:r>
        <w:r w:rsidR="00EA5A96" w:rsidRPr="00EA5A96">
          <w:rPr>
            <w:rStyle w:val="ac"/>
            <w:lang w:val="uk-UA"/>
          </w:rPr>
          <w:t>-</w:t>
        </w:r>
        <w:r w:rsidR="00EA5A96" w:rsidRPr="001E3AE5">
          <w:rPr>
            <w:rStyle w:val="ac"/>
            <w:lang w:val="en-US"/>
          </w:rPr>
          <w:t>for</w:t>
        </w:r>
        <w:r w:rsidR="00EA5A96" w:rsidRPr="00EA5A96">
          <w:rPr>
            <w:rStyle w:val="ac"/>
            <w:lang w:val="uk-UA"/>
          </w:rPr>
          <w:t>-</w:t>
        </w:r>
        <w:r w:rsidR="00EA5A96" w:rsidRPr="001E3AE5">
          <w:rPr>
            <w:rStyle w:val="ac"/>
            <w:lang w:val="en-US"/>
          </w:rPr>
          <w:t>transport</w:t>
        </w:r>
        <w:r w:rsidR="00EA5A96" w:rsidRPr="00EA5A96">
          <w:rPr>
            <w:rStyle w:val="ac"/>
            <w:lang w:val="uk-UA"/>
          </w:rPr>
          <w:t>.</w:t>
        </w:r>
        <w:r w:rsidR="00EA5A96" w:rsidRPr="001E3AE5">
          <w:rPr>
            <w:rStyle w:val="ac"/>
            <w:lang w:val="en-US"/>
          </w:rPr>
          <w:t>html</w:t>
        </w:r>
      </w:hyperlink>
    </w:p>
    <w:p w14:paraId="1E314D32" w14:textId="77777777" w:rsidR="00EA5A96" w:rsidRPr="00C00BFF" w:rsidRDefault="00EA5A96" w:rsidP="00EA5A96">
      <w:pPr>
        <w:tabs>
          <w:tab w:val="left" w:pos="426"/>
        </w:tabs>
        <w:spacing w:line="360" w:lineRule="auto"/>
        <w:ind w:left="426" w:hanging="426"/>
        <w:jc w:val="both"/>
        <w:rPr>
          <w:lang w:val="uk-UA"/>
        </w:rPr>
      </w:pPr>
      <w:r w:rsidRPr="001E3AE5">
        <w:rPr>
          <w:lang w:val="uk-UA"/>
        </w:rPr>
        <w:t>5</w:t>
      </w:r>
      <w:r w:rsidRPr="001E3AE5">
        <w:rPr>
          <w:lang w:val="en-GB"/>
        </w:rPr>
        <w:t xml:space="preserve">. </w:t>
      </w:r>
      <w:r w:rsidRPr="001E3AE5">
        <w:rPr>
          <w:lang w:val="en-GB"/>
        </w:rPr>
        <w:tab/>
      </w:r>
      <w:r w:rsidRPr="00644F26">
        <w:rPr>
          <w:i/>
          <w:lang w:val="en-US"/>
        </w:rPr>
        <w:t>Policy Brief</w:t>
      </w:r>
      <w:r w:rsidRPr="001E3AE5">
        <w:rPr>
          <w:lang w:val="en-US"/>
        </w:rPr>
        <w:t>: Biofuels for transport</w:t>
      </w:r>
      <w:r w:rsidRPr="001E3AE5">
        <w:rPr>
          <w:lang w:val="uk-UA"/>
        </w:rPr>
        <w:t>.</w:t>
      </w:r>
      <w:r w:rsidRPr="001E3AE5">
        <w:rPr>
          <w:lang w:val="en-US"/>
        </w:rPr>
        <w:t xml:space="preserve"> Bioenergy Europe Statistical Report, 2020</w:t>
      </w:r>
      <w:r w:rsidRPr="001E3AE5">
        <w:rPr>
          <w:lang w:val="en-GB"/>
        </w:rPr>
        <w:t>.</w:t>
      </w:r>
      <w:r>
        <w:rPr>
          <w:lang w:val="uk-UA"/>
        </w:rPr>
        <w:t xml:space="preserve"> </w:t>
      </w:r>
    </w:p>
    <w:p w14:paraId="646B2877" w14:textId="77777777" w:rsidR="00EA5A96" w:rsidRDefault="00EA5A96" w:rsidP="00EA5A96">
      <w:pPr>
        <w:tabs>
          <w:tab w:val="left" w:pos="426"/>
        </w:tabs>
        <w:spacing w:line="360" w:lineRule="auto"/>
        <w:ind w:left="426" w:hanging="426"/>
        <w:jc w:val="both"/>
        <w:rPr>
          <w:lang w:val="en-GB"/>
        </w:rPr>
      </w:pPr>
      <w:r>
        <w:rPr>
          <w:lang w:val="en-GB"/>
        </w:rPr>
        <w:tab/>
      </w:r>
      <w:hyperlink r:id="rId62" w:history="1">
        <w:r w:rsidRPr="00E7713C">
          <w:rPr>
            <w:rStyle w:val="ac"/>
            <w:lang w:val="en-GB"/>
          </w:rPr>
          <w:t>https://bioenergyeurope.org/29-statistical-reports/252-biofuels-for-transport.html</w:t>
        </w:r>
      </w:hyperlink>
    </w:p>
    <w:p w14:paraId="7DFC4AFF" w14:textId="77777777" w:rsidR="00EA5A96" w:rsidRPr="00981381" w:rsidRDefault="00EA5A96" w:rsidP="00EA5A96">
      <w:pPr>
        <w:tabs>
          <w:tab w:val="left" w:pos="426"/>
        </w:tabs>
        <w:spacing w:line="360" w:lineRule="auto"/>
        <w:ind w:left="426" w:hanging="426"/>
        <w:jc w:val="both"/>
        <w:rPr>
          <w:lang w:val="en-US"/>
        </w:rPr>
      </w:pPr>
      <w:r w:rsidRPr="00981381">
        <w:rPr>
          <w:lang w:val="en-GB"/>
        </w:rPr>
        <w:t xml:space="preserve">6. </w:t>
      </w:r>
      <w:r w:rsidRPr="00981381">
        <w:rPr>
          <w:lang w:val="en-GB"/>
        </w:rPr>
        <w:tab/>
        <w:t>EU Biofuels Annual Report 2019, USDA</w:t>
      </w:r>
      <w:r>
        <w:rPr>
          <w:lang w:val="en-GB"/>
        </w:rPr>
        <w:t xml:space="preserve">, 2019.  </w:t>
      </w:r>
      <w:hyperlink r:id="rId63" w:history="1">
        <w:r w:rsidRPr="00E7713C">
          <w:rPr>
            <w:rStyle w:val="ac"/>
            <w:lang w:val="en-US"/>
          </w:rPr>
          <w:t>https://bit.ly/3lbEjwm</w:t>
        </w:r>
      </w:hyperlink>
    </w:p>
    <w:p w14:paraId="52D61CCF" w14:textId="77777777" w:rsidR="00EA5A96" w:rsidRPr="00C00BFF" w:rsidRDefault="00EA5A96" w:rsidP="00EA5A96">
      <w:pPr>
        <w:tabs>
          <w:tab w:val="left" w:pos="426"/>
        </w:tabs>
        <w:spacing w:line="360" w:lineRule="auto"/>
        <w:ind w:left="426" w:hanging="426"/>
        <w:jc w:val="both"/>
        <w:rPr>
          <w:lang w:val="uk-UA"/>
        </w:rPr>
      </w:pPr>
      <w:r>
        <w:rPr>
          <w:lang w:val="uk-UA"/>
        </w:rPr>
        <w:t xml:space="preserve">7. </w:t>
      </w:r>
      <w:r>
        <w:rPr>
          <w:lang w:val="uk-UA"/>
        </w:rPr>
        <w:tab/>
      </w:r>
      <w:r w:rsidRPr="006002C9">
        <w:rPr>
          <w:i/>
          <w:lang w:val="en-US"/>
        </w:rPr>
        <w:t>Renewables</w:t>
      </w:r>
      <w:r w:rsidRPr="005F5C26">
        <w:rPr>
          <w:lang w:val="en-US"/>
        </w:rPr>
        <w:t xml:space="preserve"> 2021</w:t>
      </w:r>
      <w:r>
        <w:rPr>
          <w:lang w:val="uk-UA"/>
        </w:rPr>
        <w:t>.</w:t>
      </w:r>
      <w:r w:rsidRPr="005F5C26">
        <w:rPr>
          <w:lang w:val="en-US"/>
        </w:rPr>
        <w:t xml:space="preserve"> Global Status Report. </w:t>
      </w:r>
      <w:r>
        <w:rPr>
          <w:lang w:val="en-US"/>
        </w:rPr>
        <w:t>REN21, 2021.</w:t>
      </w:r>
      <w:r>
        <w:rPr>
          <w:lang w:val="uk-UA"/>
        </w:rPr>
        <w:t xml:space="preserve"> </w:t>
      </w:r>
    </w:p>
    <w:p w14:paraId="7B1C1AEB" w14:textId="77777777" w:rsidR="00EA5A96" w:rsidRPr="00201A3A" w:rsidRDefault="00EA5A96" w:rsidP="00EA5A96">
      <w:pPr>
        <w:tabs>
          <w:tab w:val="left" w:pos="426"/>
        </w:tabs>
        <w:spacing w:line="360" w:lineRule="auto"/>
        <w:ind w:left="426" w:hanging="426"/>
        <w:jc w:val="both"/>
        <w:rPr>
          <w:lang w:val="uk-UA"/>
        </w:rPr>
      </w:pPr>
      <w:r>
        <w:rPr>
          <w:lang w:val="en-US"/>
        </w:rPr>
        <w:tab/>
      </w:r>
      <w:hyperlink r:id="rId64" w:history="1">
        <w:r w:rsidRPr="00201A3A">
          <w:rPr>
            <w:rStyle w:val="ac"/>
            <w:lang w:val="en-US"/>
          </w:rPr>
          <w:t>https://www.ren21.net/wp-content/uploads/2019/05/GSR2021_Full_Report.pdf</w:t>
        </w:r>
      </w:hyperlink>
    </w:p>
    <w:p w14:paraId="0041B4E4" w14:textId="77777777" w:rsidR="00EA5A96" w:rsidRPr="00201A3A" w:rsidRDefault="00EA5A96" w:rsidP="00EA5A96">
      <w:pPr>
        <w:tabs>
          <w:tab w:val="left" w:pos="426"/>
        </w:tabs>
        <w:spacing w:line="360" w:lineRule="auto"/>
        <w:ind w:left="426" w:hanging="426"/>
        <w:jc w:val="both"/>
        <w:rPr>
          <w:lang w:val="en-GB"/>
        </w:rPr>
      </w:pPr>
      <w:r w:rsidRPr="00201A3A">
        <w:rPr>
          <w:lang w:val="uk-UA"/>
        </w:rPr>
        <w:t>8</w:t>
      </w:r>
      <w:r w:rsidRPr="00201A3A">
        <w:rPr>
          <w:lang w:val="en-GB"/>
        </w:rPr>
        <w:t xml:space="preserve">. </w:t>
      </w:r>
      <w:r w:rsidRPr="00201A3A">
        <w:rPr>
          <w:lang w:val="en-GB"/>
        </w:rPr>
        <w:tab/>
      </w:r>
      <w:r w:rsidRPr="00201A3A">
        <w:rPr>
          <w:i/>
          <w:lang w:val="en-US"/>
        </w:rPr>
        <w:t>Sweden’s Integrated</w:t>
      </w:r>
      <w:r w:rsidRPr="00201A3A">
        <w:rPr>
          <w:lang w:val="en-US"/>
        </w:rPr>
        <w:t xml:space="preserve"> National Energy and Climate Plan</w:t>
      </w:r>
      <w:r w:rsidRPr="00201A3A">
        <w:rPr>
          <w:lang w:val="en-GB"/>
        </w:rPr>
        <w:t>, 2020.</w:t>
      </w:r>
    </w:p>
    <w:p w14:paraId="73C54AB1" w14:textId="77777777" w:rsidR="00EA5A96" w:rsidRPr="00201A3A" w:rsidRDefault="00EA5A96" w:rsidP="00EA5A96">
      <w:pPr>
        <w:tabs>
          <w:tab w:val="left" w:pos="426"/>
          <w:tab w:val="left" w:pos="7904"/>
        </w:tabs>
        <w:spacing w:line="360" w:lineRule="auto"/>
        <w:ind w:left="426" w:hanging="426"/>
        <w:jc w:val="both"/>
        <w:rPr>
          <w:lang w:val="en-GB"/>
        </w:rPr>
      </w:pPr>
      <w:r w:rsidRPr="00201A3A">
        <w:rPr>
          <w:lang w:val="en-GB"/>
        </w:rPr>
        <w:tab/>
      </w:r>
      <w:hyperlink r:id="rId65" w:history="1">
        <w:r w:rsidRPr="00201A3A">
          <w:rPr>
            <w:rStyle w:val="ac"/>
            <w:lang w:val="en-GB"/>
          </w:rPr>
          <w:t>https://ec.europa.eu/energy/sites/ener/files/documents/se_final_necp_main_en.pdf</w:t>
        </w:r>
      </w:hyperlink>
    </w:p>
    <w:p w14:paraId="72CF6D86" w14:textId="77777777" w:rsidR="00EA5A96" w:rsidRPr="00201A3A" w:rsidRDefault="00EA5A96" w:rsidP="00EA5A96">
      <w:pPr>
        <w:tabs>
          <w:tab w:val="left" w:pos="426"/>
        </w:tabs>
        <w:spacing w:line="360" w:lineRule="auto"/>
        <w:ind w:left="426" w:hanging="426"/>
        <w:jc w:val="both"/>
        <w:rPr>
          <w:lang w:val="uk-UA"/>
        </w:rPr>
      </w:pPr>
      <w:r w:rsidRPr="00201A3A">
        <w:rPr>
          <w:lang w:val="uk-UA"/>
        </w:rPr>
        <w:t xml:space="preserve">9. </w:t>
      </w:r>
      <w:r w:rsidRPr="00201A3A">
        <w:rPr>
          <w:lang w:val="uk-UA"/>
        </w:rPr>
        <w:tab/>
      </w:r>
      <w:r w:rsidRPr="00201A3A">
        <w:rPr>
          <w:i/>
          <w:lang w:val="uk-UA"/>
        </w:rPr>
        <w:t>Парк електромобілів</w:t>
      </w:r>
      <w:r w:rsidRPr="00201A3A">
        <w:rPr>
          <w:lang w:val="uk-UA"/>
        </w:rPr>
        <w:t xml:space="preserve"> в Україні. Федерація роботодавців автомобільної галузі. </w:t>
      </w:r>
    </w:p>
    <w:p w14:paraId="1AA99442" w14:textId="77777777" w:rsidR="00EA5A96" w:rsidRPr="00201A3A" w:rsidRDefault="00EA5A96" w:rsidP="00EA5A96">
      <w:pPr>
        <w:tabs>
          <w:tab w:val="left" w:pos="426"/>
        </w:tabs>
        <w:spacing w:line="360" w:lineRule="auto"/>
        <w:ind w:left="426" w:hanging="426"/>
        <w:jc w:val="both"/>
        <w:rPr>
          <w:lang w:val="uk-UA"/>
        </w:rPr>
      </w:pPr>
      <w:r w:rsidRPr="00201A3A">
        <w:tab/>
      </w:r>
      <w:hyperlink r:id="rId66" w:history="1">
        <w:r w:rsidRPr="00201A3A">
          <w:rPr>
            <w:rStyle w:val="ac"/>
          </w:rPr>
          <w:t>https://fra.org.ua/uk/st/statistika/infoghrafika/park-elektromobiliv-v-ukrayini</w:t>
        </w:r>
      </w:hyperlink>
    </w:p>
    <w:p w14:paraId="76A97513" w14:textId="0BE57E72" w:rsidR="00EA5A96" w:rsidRPr="00201A3A" w:rsidRDefault="00EA5A96" w:rsidP="00EA5A96">
      <w:pPr>
        <w:tabs>
          <w:tab w:val="left" w:pos="426"/>
        </w:tabs>
        <w:spacing w:line="360" w:lineRule="auto"/>
        <w:ind w:left="426" w:hanging="426"/>
        <w:jc w:val="both"/>
        <w:rPr>
          <w:rStyle w:val="ac"/>
          <w:lang w:val="uk-UA"/>
        </w:rPr>
      </w:pPr>
      <w:r w:rsidRPr="00201A3A">
        <w:rPr>
          <w:lang w:val="uk-UA"/>
        </w:rPr>
        <w:t>10</w:t>
      </w:r>
      <w:r w:rsidRPr="00201A3A">
        <w:t>.</w:t>
      </w:r>
      <w:r w:rsidRPr="00201A3A">
        <w:tab/>
      </w:r>
      <w:r w:rsidRPr="00201A3A">
        <w:rPr>
          <w:i/>
          <w:lang w:val="uk-UA"/>
        </w:rPr>
        <w:t>Звіт</w:t>
      </w:r>
      <w:r w:rsidRPr="00201A3A">
        <w:rPr>
          <w:lang w:val="uk-UA"/>
        </w:rPr>
        <w:t xml:space="preserve"> про результати стимулювання та використання енергії, виробленої з відновлюваних джерел, в Україні за 2018-2019 рр., Держенергоефективності. </w:t>
      </w:r>
      <w:hyperlink r:id="rId67" w:history="1"/>
    </w:p>
    <w:p w14:paraId="04936297" w14:textId="77777777" w:rsidR="00201A3A" w:rsidRPr="00201A3A" w:rsidRDefault="00201A3A" w:rsidP="00201A3A">
      <w:pPr>
        <w:tabs>
          <w:tab w:val="left" w:pos="426"/>
        </w:tabs>
        <w:spacing w:line="360" w:lineRule="auto"/>
        <w:ind w:left="426"/>
        <w:jc w:val="both"/>
        <w:rPr>
          <w:lang w:val="uk-UA"/>
        </w:rPr>
      </w:pPr>
      <w:r w:rsidRPr="00201A3A">
        <w:t>https</w:t>
      </w:r>
      <w:r w:rsidRPr="00201A3A">
        <w:rPr>
          <w:lang w:val="uk-UA"/>
        </w:rPr>
        <w:t>://</w:t>
      </w:r>
      <w:r w:rsidRPr="00201A3A">
        <w:t>saee</w:t>
      </w:r>
      <w:r w:rsidRPr="00201A3A">
        <w:rPr>
          <w:lang w:val="uk-UA"/>
        </w:rPr>
        <w:t>.</w:t>
      </w:r>
      <w:r w:rsidRPr="00201A3A">
        <w:t>gov</w:t>
      </w:r>
      <w:r w:rsidRPr="00201A3A">
        <w:rPr>
          <w:lang w:val="uk-UA"/>
        </w:rPr>
        <w:t>.</w:t>
      </w:r>
      <w:r w:rsidRPr="00201A3A">
        <w:t>ua</w:t>
      </w:r>
      <w:r w:rsidRPr="00201A3A">
        <w:rPr>
          <w:lang w:val="uk-UA"/>
        </w:rPr>
        <w:t>/</w:t>
      </w:r>
      <w:r w:rsidRPr="00201A3A">
        <w:t>sites</w:t>
      </w:r>
      <w:r w:rsidRPr="00201A3A">
        <w:rPr>
          <w:lang w:val="uk-UA"/>
        </w:rPr>
        <w:t>/</w:t>
      </w:r>
      <w:r w:rsidRPr="00201A3A">
        <w:t>default</w:t>
      </w:r>
      <w:r w:rsidRPr="00201A3A">
        <w:rPr>
          <w:lang w:val="uk-UA"/>
        </w:rPr>
        <w:t>/</w:t>
      </w:r>
      <w:r w:rsidRPr="00201A3A">
        <w:t>files</w:t>
      </w:r>
      <w:r w:rsidRPr="00201A3A">
        <w:rPr>
          <w:lang w:val="uk-UA"/>
        </w:rPr>
        <w:t>/</w:t>
      </w:r>
      <w:r w:rsidRPr="00201A3A">
        <w:t>Report</w:t>
      </w:r>
      <w:r w:rsidRPr="00201A3A">
        <w:rPr>
          <w:lang w:val="uk-UA"/>
        </w:rPr>
        <w:t>%20</w:t>
      </w:r>
      <w:r w:rsidRPr="00201A3A">
        <w:t>to</w:t>
      </w:r>
      <w:r w:rsidRPr="00201A3A">
        <w:rPr>
          <w:lang w:val="uk-UA"/>
        </w:rPr>
        <w:t>%20</w:t>
      </w:r>
      <w:r w:rsidRPr="00201A3A">
        <w:t>Energy</w:t>
      </w:r>
      <w:r w:rsidRPr="00201A3A">
        <w:rPr>
          <w:lang w:val="uk-UA"/>
        </w:rPr>
        <w:t>%20</w:t>
      </w:r>
      <w:r w:rsidRPr="00201A3A">
        <w:t>Commun</w:t>
      </w:r>
      <w:r w:rsidRPr="00201A3A">
        <w:rPr>
          <w:lang w:val="uk-UA"/>
        </w:rPr>
        <w:t>%20</w:t>
      </w:r>
      <w:r w:rsidRPr="00201A3A">
        <w:t>RES</w:t>
      </w:r>
      <w:r w:rsidRPr="00201A3A">
        <w:rPr>
          <w:lang w:val="uk-UA"/>
        </w:rPr>
        <w:t>%20</w:t>
      </w:r>
      <w:r w:rsidRPr="00201A3A">
        <w:t>UKraine</w:t>
      </w:r>
      <w:r w:rsidRPr="00201A3A">
        <w:rPr>
          <w:lang w:val="uk-UA"/>
        </w:rPr>
        <w:t>%202018-2019%20%28</w:t>
      </w:r>
      <w:r w:rsidRPr="00201A3A">
        <w:t>final</w:t>
      </w:r>
      <w:r w:rsidRPr="00201A3A">
        <w:rPr>
          <w:lang w:val="uk-UA"/>
        </w:rPr>
        <w:t>%29.</w:t>
      </w:r>
      <w:r w:rsidRPr="00201A3A">
        <w:t>pdf</w:t>
      </w:r>
    </w:p>
    <w:p w14:paraId="5DFD5695" w14:textId="77777777" w:rsidR="00EA5A96" w:rsidRPr="00201A3A" w:rsidRDefault="00EA5A96" w:rsidP="00EA5A96">
      <w:pPr>
        <w:tabs>
          <w:tab w:val="left" w:pos="426"/>
        </w:tabs>
        <w:spacing w:line="360" w:lineRule="auto"/>
        <w:ind w:left="426" w:hanging="426"/>
        <w:jc w:val="both"/>
        <w:rPr>
          <w:lang w:val="en-US"/>
        </w:rPr>
      </w:pPr>
      <w:r w:rsidRPr="00201A3A">
        <w:rPr>
          <w:lang w:val="uk-UA"/>
        </w:rPr>
        <w:t xml:space="preserve">11. </w:t>
      </w:r>
      <w:r w:rsidRPr="00201A3A">
        <w:rPr>
          <w:lang w:val="uk-UA"/>
        </w:rPr>
        <w:tab/>
      </w:r>
      <w:r w:rsidRPr="00201A3A">
        <w:rPr>
          <w:i/>
          <w:lang w:val="en-US"/>
        </w:rPr>
        <w:t>Action plans</w:t>
      </w:r>
      <w:r w:rsidRPr="00201A3A">
        <w:rPr>
          <w:lang w:val="en-US"/>
        </w:rPr>
        <w:t>, reports and statements, Ukraine. Energy Community.</w:t>
      </w:r>
    </w:p>
    <w:p w14:paraId="5AEF758F" w14:textId="77777777" w:rsidR="00EA5A96" w:rsidRPr="00201A3A" w:rsidRDefault="00EA5A96" w:rsidP="00EA5A96">
      <w:pPr>
        <w:tabs>
          <w:tab w:val="left" w:pos="426"/>
        </w:tabs>
        <w:spacing w:line="360" w:lineRule="auto"/>
        <w:ind w:left="426" w:hanging="426"/>
        <w:jc w:val="both"/>
        <w:rPr>
          <w:lang w:val="uk-UA"/>
        </w:rPr>
      </w:pPr>
      <w:r w:rsidRPr="00201A3A">
        <w:rPr>
          <w:lang w:val="uk-UA"/>
        </w:rPr>
        <w:tab/>
      </w:r>
      <w:hyperlink r:id="rId68" w:history="1">
        <w:r w:rsidRPr="00201A3A">
          <w:rPr>
            <w:rStyle w:val="ac"/>
            <w:lang w:val="en-US"/>
          </w:rPr>
          <w:t>https</w:t>
        </w:r>
        <w:r w:rsidRPr="00201A3A">
          <w:rPr>
            <w:rStyle w:val="ac"/>
            <w:lang w:val="uk-UA"/>
          </w:rPr>
          <w:t>://</w:t>
        </w:r>
        <w:r w:rsidRPr="00201A3A">
          <w:rPr>
            <w:rStyle w:val="ac"/>
            <w:lang w:val="en-US"/>
          </w:rPr>
          <w:t>www</w:t>
        </w:r>
        <w:r w:rsidRPr="00201A3A">
          <w:rPr>
            <w:rStyle w:val="ac"/>
            <w:lang w:val="uk-UA"/>
          </w:rPr>
          <w:t>.</w:t>
        </w:r>
        <w:r w:rsidRPr="00201A3A">
          <w:rPr>
            <w:rStyle w:val="ac"/>
            <w:lang w:val="en-US"/>
          </w:rPr>
          <w:t>energy</w:t>
        </w:r>
        <w:r w:rsidRPr="00201A3A">
          <w:rPr>
            <w:rStyle w:val="ac"/>
            <w:lang w:val="uk-UA"/>
          </w:rPr>
          <w:t>-</w:t>
        </w:r>
        <w:r w:rsidRPr="00201A3A">
          <w:rPr>
            <w:rStyle w:val="ac"/>
            <w:lang w:val="en-US"/>
          </w:rPr>
          <w:t>community</w:t>
        </w:r>
        <w:r w:rsidRPr="00201A3A">
          <w:rPr>
            <w:rStyle w:val="ac"/>
            <w:lang w:val="uk-UA"/>
          </w:rPr>
          <w:t>.</w:t>
        </w:r>
        <w:r w:rsidRPr="00201A3A">
          <w:rPr>
            <w:rStyle w:val="ac"/>
            <w:lang w:val="en-US"/>
          </w:rPr>
          <w:t>org</w:t>
        </w:r>
        <w:r w:rsidRPr="00201A3A">
          <w:rPr>
            <w:rStyle w:val="ac"/>
            <w:lang w:val="uk-UA"/>
          </w:rPr>
          <w:t>/</w:t>
        </w:r>
        <w:r w:rsidRPr="00201A3A">
          <w:rPr>
            <w:rStyle w:val="ac"/>
            <w:lang w:val="en-US"/>
          </w:rPr>
          <w:t>implementation</w:t>
        </w:r>
        <w:r w:rsidRPr="00201A3A">
          <w:rPr>
            <w:rStyle w:val="ac"/>
            <w:lang w:val="uk-UA"/>
          </w:rPr>
          <w:t>/</w:t>
        </w:r>
        <w:r w:rsidRPr="00201A3A">
          <w:rPr>
            <w:rStyle w:val="ac"/>
            <w:lang w:val="en-US"/>
          </w:rPr>
          <w:t>Ukraine</w:t>
        </w:r>
        <w:r w:rsidRPr="00201A3A">
          <w:rPr>
            <w:rStyle w:val="ac"/>
            <w:lang w:val="uk-UA"/>
          </w:rPr>
          <w:t>/</w:t>
        </w:r>
        <w:r w:rsidRPr="00201A3A">
          <w:rPr>
            <w:rStyle w:val="ac"/>
            <w:lang w:val="en-US"/>
          </w:rPr>
          <w:t>reporting</w:t>
        </w:r>
        <w:r w:rsidRPr="00201A3A">
          <w:rPr>
            <w:rStyle w:val="ac"/>
            <w:lang w:val="uk-UA"/>
          </w:rPr>
          <w:t>.</w:t>
        </w:r>
        <w:r w:rsidRPr="00201A3A">
          <w:rPr>
            <w:rStyle w:val="ac"/>
            <w:lang w:val="en-US"/>
          </w:rPr>
          <w:t>html</w:t>
        </w:r>
      </w:hyperlink>
    </w:p>
    <w:p w14:paraId="2F7DCA37" w14:textId="77777777" w:rsidR="00EA5A96" w:rsidRPr="00201A3A" w:rsidRDefault="00EA5A96" w:rsidP="00EA5A96">
      <w:pPr>
        <w:tabs>
          <w:tab w:val="left" w:pos="426"/>
        </w:tabs>
        <w:spacing w:line="360" w:lineRule="auto"/>
        <w:ind w:left="426" w:hanging="426"/>
        <w:jc w:val="both"/>
        <w:rPr>
          <w:lang w:val="uk-UA"/>
        </w:rPr>
      </w:pPr>
      <w:r w:rsidRPr="00201A3A">
        <w:rPr>
          <w:lang w:val="uk-UA"/>
        </w:rPr>
        <w:t xml:space="preserve">12. </w:t>
      </w:r>
      <w:r w:rsidRPr="00201A3A">
        <w:rPr>
          <w:lang w:val="uk-UA"/>
        </w:rPr>
        <w:tab/>
        <w:t xml:space="preserve">Розпорядження Кабінету Міністрів України № 902-р від 01.10.2014. </w:t>
      </w:r>
    </w:p>
    <w:p w14:paraId="07C35C9A" w14:textId="77777777" w:rsidR="00EA5A96" w:rsidRPr="00201A3A" w:rsidRDefault="00EA5A96" w:rsidP="00EA5A96">
      <w:pPr>
        <w:tabs>
          <w:tab w:val="left" w:pos="426"/>
        </w:tabs>
        <w:spacing w:line="360" w:lineRule="auto"/>
        <w:ind w:left="426" w:hanging="426"/>
        <w:jc w:val="both"/>
        <w:rPr>
          <w:lang w:val="uk-UA"/>
        </w:rPr>
      </w:pPr>
      <w:r w:rsidRPr="00201A3A">
        <w:rPr>
          <w:lang w:val="uk-UA"/>
        </w:rPr>
        <w:tab/>
      </w:r>
      <w:hyperlink r:id="rId69" w:anchor="n10" w:history="1">
        <w:r w:rsidRPr="00201A3A">
          <w:rPr>
            <w:rStyle w:val="ac"/>
            <w:lang w:val="en-US"/>
          </w:rPr>
          <w:t>https</w:t>
        </w:r>
        <w:r w:rsidRPr="00201A3A">
          <w:rPr>
            <w:rStyle w:val="ac"/>
            <w:lang w:val="uk-UA"/>
          </w:rPr>
          <w:t>://</w:t>
        </w:r>
        <w:r w:rsidRPr="00201A3A">
          <w:rPr>
            <w:rStyle w:val="ac"/>
            <w:lang w:val="en-US"/>
          </w:rPr>
          <w:t>zakon</w:t>
        </w:r>
        <w:r w:rsidRPr="00201A3A">
          <w:rPr>
            <w:rStyle w:val="ac"/>
            <w:lang w:val="uk-UA"/>
          </w:rPr>
          <w:t>.</w:t>
        </w:r>
        <w:r w:rsidRPr="00201A3A">
          <w:rPr>
            <w:rStyle w:val="ac"/>
            <w:lang w:val="en-US"/>
          </w:rPr>
          <w:t>rada</w:t>
        </w:r>
        <w:r w:rsidRPr="00201A3A">
          <w:rPr>
            <w:rStyle w:val="ac"/>
            <w:lang w:val="uk-UA"/>
          </w:rPr>
          <w:t>.</w:t>
        </w:r>
        <w:r w:rsidRPr="00201A3A">
          <w:rPr>
            <w:rStyle w:val="ac"/>
            <w:lang w:val="en-US"/>
          </w:rPr>
          <w:t>gov</w:t>
        </w:r>
        <w:r w:rsidRPr="00201A3A">
          <w:rPr>
            <w:rStyle w:val="ac"/>
            <w:lang w:val="uk-UA"/>
          </w:rPr>
          <w:t>.</w:t>
        </w:r>
        <w:r w:rsidRPr="00201A3A">
          <w:rPr>
            <w:rStyle w:val="ac"/>
            <w:lang w:val="en-US"/>
          </w:rPr>
          <w:t>ua</w:t>
        </w:r>
        <w:r w:rsidRPr="00201A3A">
          <w:rPr>
            <w:rStyle w:val="ac"/>
            <w:lang w:val="uk-UA"/>
          </w:rPr>
          <w:t>/</w:t>
        </w:r>
        <w:r w:rsidRPr="00201A3A">
          <w:rPr>
            <w:rStyle w:val="ac"/>
            <w:lang w:val="en-US"/>
          </w:rPr>
          <w:t>laws</w:t>
        </w:r>
        <w:r w:rsidRPr="00201A3A">
          <w:rPr>
            <w:rStyle w:val="ac"/>
            <w:lang w:val="uk-UA"/>
          </w:rPr>
          <w:t>/</w:t>
        </w:r>
        <w:r w:rsidRPr="00201A3A">
          <w:rPr>
            <w:rStyle w:val="ac"/>
            <w:lang w:val="en-US"/>
          </w:rPr>
          <w:t>show</w:t>
        </w:r>
        <w:r w:rsidRPr="00201A3A">
          <w:rPr>
            <w:rStyle w:val="ac"/>
            <w:lang w:val="uk-UA"/>
          </w:rPr>
          <w:t>/902-2014-%</w:t>
        </w:r>
        <w:r w:rsidRPr="00201A3A">
          <w:rPr>
            <w:rStyle w:val="ac"/>
            <w:lang w:val="en-US"/>
          </w:rPr>
          <w:t>D</w:t>
        </w:r>
        <w:r w:rsidRPr="00201A3A">
          <w:rPr>
            <w:rStyle w:val="ac"/>
            <w:lang w:val="uk-UA"/>
          </w:rPr>
          <w:t>1%80#</w:t>
        </w:r>
        <w:r w:rsidRPr="00201A3A">
          <w:rPr>
            <w:rStyle w:val="ac"/>
            <w:lang w:val="en-US"/>
          </w:rPr>
          <w:t>n</w:t>
        </w:r>
        <w:r w:rsidRPr="00201A3A">
          <w:rPr>
            <w:rStyle w:val="ac"/>
            <w:lang w:val="uk-UA"/>
          </w:rPr>
          <w:t>10</w:t>
        </w:r>
      </w:hyperlink>
    </w:p>
    <w:p w14:paraId="6CC43165" w14:textId="77777777" w:rsidR="00EA5A96" w:rsidRPr="00201A3A" w:rsidRDefault="00EA5A96" w:rsidP="00EA5A96">
      <w:pPr>
        <w:tabs>
          <w:tab w:val="left" w:pos="426"/>
        </w:tabs>
        <w:spacing w:line="360" w:lineRule="auto"/>
        <w:ind w:left="426" w:hanging="426"/>
        <w:jc w:val="both"/>
        <w:rPr>
          <w:lang w:val="uk-UA"/>
        </w:rPr>
      </w:pPr>
      <w:r w:rsidRPr="00201A3A">
        <w:rPr>
          <w:lang w:val="uk-UA"/>
        </w:rPr>
        <w:t xml:space="preserve">13. </w:t>
      </w:r>
      <w:r w:rsidRPr="00201A3A">
        <w:rPr>
          <w:lang w:val="uk-UA"/>
        </w:rPr>
        <w:tab/>
      </w:r>
      <w:r w:rsidRPr="00201A3A">
        <w:rPr>
          <w:i/>
          <w:lang w:val="uk-UA"/>
        </w:rPr>
        <w:t>Інформація</w:t>
      </w:r>
      <w:r w:rsidRPr="00201A3A">
        <w:rPr>
          <w:lang w:val="uk-UA"/>
        </w:rPr>
        <w:t xml:space="preserve"> щодо частки енергії, виробленої з відновлюваних джерел, у кінцевому енергоспоживанні у 2019 році, Держенергоефективності. </w:t>
      </w:r>
      <w:hyperlink r:id="rId70" w:history="1">
        <w:r w:rsidRPr="00201A3A">
          <w:rPr>
            <w:rStyle w:val="ac"/>
            <w:iCs/>
            <w:lang w:val="uk-UA"/>
          </w:rPr>
          <w:t>https://saee.gov.ua/sites/default/files/RE_SAEE_2019.pdf</w:t>
        </w:r>
      </w:hyperlink>
    </w:p>
    <w:p w14:paraId="3DA7EB66" w14:textId="77777777" w:rsidR="00EA5A96" w:rsidRPr="00201A3A" w:rsidRDefault="00EA5A96" w:rsidP="00EA5A96">
      <w:pPr>
        <w:tabs>
          <w:tab w:val="left" w:pos="426"/>
        </w:tabs>
        <w:spacing w:line="360" w:lineRule="auto"/>
        <w:ind w:left="426" w:hanging="426"/>
        <w:jc w:val="both"/>
        <w:rPr>
          <w:lang w:val="uk-UA"/>
        </w:rPr>
      </w:pPr>
      <w:r w:rsidRPr="00201A3A">
        <w:rPr>
          <w:lang w:val="uk-UA"/>
        </w:rPr>
        <w:t xml:space="preserve">14. </w:t>
      </w:r>
      <w:r w:rsidRPr="00201A3A">
        <w:rPr>
          <w:lang w:val="uk-UA"/>
        </w:rPr>
        <w:tab/>
      </w:r>
      <w:r w:rsidRPr="00201A3A">
        <w:rPr>
          <w:i/>
          <w:lang w:val="uk-UA"/>
        </w:rPr>
        <w:t>Розпорядження</w:t>
      </w:r>
      <w:r w:rsidRPr="00201A3A">
        <w:rPr>
          <w:lang w:val="uk-UA"/>
        </w:rPr>
        <w:t xml:space="preserve"> Кабінету Міністрів України № 430-р від 30.05.2018. </w:t>
      </w:r>
    </w:p>
    <w:p w14:paraId="6DFE7DB2" w14:textId="77777777" w:rsidR="00EA5A96" w:rsidRPr="00201A3A" w:rsidRDefault="00EA5A96" w:rsidP="00EA5A96">
      <w:pPr>
        <w:tabs>
          <w:tab w:val="left" w:pos="426"/>
        </w:tabs>
        <w:spacing w:line="360" w:lineRule="auto"/>
        <w:ind w:left="426" w:hanging="426"/>
        <w:jc w:val="both"/>
        <w:rPr>
          <w:lang w:val="uk-UA"/>
        </w:rPr>
      </w:pPr>
      <w:r w:rsidRPr="00201A3A">
        <w:rPr>
          <w:lang w:val="uk-UA"/>
        </w:rPr>
        <w:tab/>
      </w:r>
      <w:hyperlink r:id="rId71" w:anchor="Text" w:history="1">
        <w:r w:rsidRPr="00201A3A">
          <w:rPr>
            <w:rStyle w:val="ac"/>
            <w:lang w:val="en-US"/>
          </w:rPr>
          <w:t>https</w:t>
        </w:r>
        <w:r w:rsidRPr="00201A3A">
          <w:rPr>
            <w:rStyle w:val="ac"/>
            <w:lang w:val="uk-UA"/>
          </w:rPr>
          <w:t>://</w:t>
        </w:r>
        <w:r w:rsidRPr="00201A3A">
          <w:rPr>
            <w:rStyle w:val="ac"/>
            <w:lang w:val="en-US"/>
          </w:rPr>
          <w:t>zakon</w:t>
        </w:r>
        <w:r w:rsidRPr="00201A3A">
          <w:rPr>
            <w:rStyle w:val="ac"/>
            <w:lang w:val="uk-UA"/>
          </w:rPr>
          <w:t>.</w:t>
        </w:r>
        <w:r w:rsidRPr="00201A3A">
          <w:rPr>
            <w:rStyle w:val="ac"/>
            <w:lang w:val="en-US"/>
          </w:rPr>
          <w:t>rada</w:t>
        </w:r>
        <w:r w:rsidRPr="00201A3A">
          <w:rPr>
            <w:rStyle w:val="ac"/>
            <w:lang w:val="uk-UA"/>
          </w:rPr>
          <w:t>.</w:t>
        </w:r>
        <w:r w:rsidRPr="00201A3A">
          <w:rPr>
            <w:rStyle w:val="ac"/>
            <w:lang w:val="en-US"/>
          </w:rPr>
          <w:t>gov</w:t>
        </w:r>
        <w:r w:rsidRPr="00201A3A">
          <w:rPr>
            <w:rStyle w:val="ac"/>
            <w:lang w:val="uk-UA"/>
          </w:rPr>
          <w:t>.</w:t>
        </w:r>
        <w:r w:rsidRPr="00201A3A">
          <w:rPr>
            <w:rStyle w:val="ac"/>
            <w:lang w:val="en-US"/>
          </w:rPr>
          <w:t>ua</w:t>
        </w:r>
        <w:r w:rsidRPr="00201A3A">
          <w:rPr>
            <w:rStyle w:val="ac"/>
            <w:lang w:val="uk-UA"/>
          </w:rPr>
          <w:t>/</w:t>
        </w:r>
        <w:r w:rsidRPr="00201A3A">
          <w:rPr>
            <w:rStyle w:val="ac"/>
            <w:lang w:val="en-US"/>
          </w:rPr>
          <w:t>laws</w:t>
        </w:r>
        <w:r w:rsidRPr="00201A3A">
          <w:rPr>
            <w:rStyle w:val="ac"/>
            <w:lang w:val="uk-UA"/>
          </w:rPr>
          <w:t>/</w:t>
        </w:r>
        <w:r w:rsidRPr="00201A3A">
          <w:rPr>
            <w:rStyle w:val="ac"/>
            <w:lang w:val="en-US"/>
          </w:rPr>
          <w:t>show</w:t>
        </w:r>
        <w:r w:rsidRPr="00201A3A">
          <w:rPr>
            <w:rStyle w:val="ac"/>
            <w:lang w:val="uk-UA"/>
          </w:rPr>
          <w:t>/430-2018-%</w:t>
        </w:r>
        <w:r w:rsidRPr="00201A3A">
          <w:rPr>
            <w:rStyle w:val="ac"/>
            <w:lang w:val="en-US"/>
          </w:rPr>
          <w:t>D</w:t>
        </w:r>
        <w:r w:rsidRPr="00201A3A">
          <w:rPr>
            <w:rStyle w:val="ac"/>
            <w:lang w:val="uk-UA"/>
          </w:rPr>
          <w:t>1%80#</w:t>
        </w:r>
        <w:r w:rsidRPr="00201A3A">
          <w:rPr>
            <w:rStyle w:val="ac"/>
            <w:lang w:val="en-US"/>
          </w:rPr>
          <w:t>Text</w:t>
        </w:r>
      </w:hyperlink>
    </w:p>
    <w:p w14:paraId="1E80A52E" w14:textId="5729071B" w:rsidR="00BC0F39" w:rsidRDefault="00EA5A96" w:rsidP="00EA5A96">
      <w:pPr>
        <w:tabs>
          <w:tab w:val="left" w:pos="426"/>
        </w:tabs>
        <w:spacing w:line="360" w:lineRule="auto"/>
        <w:ind w:left="426" w:hanging="426"/>
        <w:jc w:val="both"/>
        <w:rPr>
          <w:rStyle w:val="ac"/>
        </w:rPr>
      </w:pPr>
      <w:r w:rsidRPr="00201A3A">
        <w:rPr>
          <w:lang w:val="uk-UA"/>
        </w:rPr>
        <w:t xml:space="preserve">15. </w:t>
      </w:r>
      <w:r w:rsidRPr="00201A3A">
        <w:rPr>
          <w:lang w:val="uk-UA"/>
        </w:rPr>
        <w:tab/>
      </w:r>
      <w:r w:rsidRPr="00201A3A">
        <w:rPr>
          <w:i/>
          <w:lang w:val="uk-UA"/>
        </w:rPr>
        <w:t>Аналітичний огляд</w:t>
      </w:r>
      <w:r w:rsidRPr="00201A3A">
        <w:rPr>
          <w:lang w:val="uk-UA"/>
        </w:rPr>
        <w:t xml:space="preserve"> Оновленого національно визначеного внеску України до Паризької угоди. Міністерство захисту довкілля та природних ресурсів України, липень 2021. </w:t>
      </w:r>
      <w:hyperlink r:id="rId72" w:history="1">
        <w:r w:rsidRPr="00201A3A">
          <w:rPr>
            <w:rStyle w:val="ac"/>
          </w:rPr>
          <w:t>https://bit.ly/3hOKZzE</w:t>
        </w:r>
      </w:hyperlink>
    </w:p>
    <w:p w14:paraId="6FF25A7E" w14:textId="77777777" w:rsidR="001F7920" w:rsidRPr="00501482" w:rsidRDefault="001F7920" w:rsidP="00EA5A96">
      <w:pPr>
        <w:tabs>
          <w:tab w:val="left" w:pos="426"/>
        </w:tabs>
        <w:spacing w:line="360" w:lineRule="auto"/>
        <w:ind w:left="426" w:hanging="426"/>
        <w:jc w:val="both"/>
      </w:pPr>
    </w:p>
    <w:sectPr w:rsidR="001F7920" w:rsidRPr="00501482" w:rsidSect="00446AAD">
      <w:pgSz w:w="11906" w:h="16838"/>
      <w:pgMar w:top="1418" w:right="851" w:bottom="1418"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1BF09" w14:textId="77777777" w:rsidR="00C3754C" w:rsidRDefault="00C3754C">
      <w:r>
        <w:separator/>
      </w:r>
    </w:p>
  </w:endnote>
  <w:endnote w:type="continuationSeparator" w:id="0">
    <w:p w14:paraId="65F9E987" w14:textId="77777777" w:rsidR="00C3754C" w:rsidRDefault="00C3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D215" w14:textId="77777777" w:rsidR="00B130D6" w:rsidRDefault="00B130D6" w:rsidP="00D31083">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30541E7" w14:textId="77777777" w:rsidR="00B130D6" w:rsidRDefault="00B130D6" w:rsidP="00D3108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90D23" w14:textId="77777777" w:rsidR="00B130D6" w:rsidRDefault="00B130D6" w:rsidP="00D3108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A11C" w14:textId="77777777" w:rsidR="00C3754C" w:rsidRDefault="00C3754C">
      <w:r>
        <w:separator/>
      </w:r>
    </w:p>
  </w:footnote>
  <w:footnote w:type="continuationSeparator" w:id="0">
    <w:p w14:paraId="5BD70ACB" w14:textId="77777777" w:rsidR="00C3754C" w:rsidRDefault="00C37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D2B"/>
    <w:multiLevelType w:val="hybridMultilevel"/>
    <w:tmpl w:val="A8902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BB0A5A"/>
    <w:multiLevelType w:val="hybridMultilevel"/>
    <w:tmpl w:val="BFD28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F002C4"/>
    <w:multiLevelType w:val="hybridMultilevel"/>
    <w:tmpl w:val="93581D26"/>
    <w:lvl w:ilvl="0" w:tplc="883CE6C2">
      <w:start w:val="1"/>
      <w:numFmt w:val="decimal"/>
      <w:lvlText w:val="%1."/>
      <w:lvlJc w:val="left"/>
      <w:pPr>
        <w:tabs>
          <w:tab w:val="num" w:pos="720"/>
        </w:tabs>
        <w:ind w:left="720" w:hanging="360"/>
      </w:pPr>
    </w:lvl>
    <w:lvl w:ilvl="1" w:tplc="51D8263A" w:tentative="1">
      <w:start w:val="1"/>
      <w:numFmt w:val="decimal"/>
      <w:lvlText w:val="%2."/>
      <w:lvlJc w:val="left"/>
      <w:pPr>
        <w:tabs>
          <w:tab w:val="num" w:pos="1440"/>
        </w:tabs>
        <w:ind w:left="1440" w:hanging="360"/>
      </w:pPr>
    </w:lvl>
    <w:lvl w:ilvl="2" w:tplc="CAFCCEE0" w:tentative="1">
      <w:start w:val="1"/>
      <w:numFmt w:val="decimal"/>
      <w:lvlText w:val="%3."/>
      <w:lvlJc w:val="left"/>
      <w:pPr>
        <w:tabs>
          <w:tab w:val="num" w:pos="2160"/>
        </w:tabs>
        <w:ind w:left="2160" w:hanging="360"/>
      </w:pPr>
    </w:lvl>
    <w:lvl w:ilvl="3" w:tplc="0A2A6D3A" w:tentative="1">
      <w:start w:val="1"/>
      <w:numFmt w:val="decimal"/>
      <w:lvlText w:val="%4."/>
      <w:lvlJc w:val="left"/>
      <w:pPr>
        <w:tabs>
          <w:tab w:val="num" w:pos="2880"/>
        </w:tabs>
        <w:ind w:left="2880" w:hanging="360"/>
      </w:pPr>
    </w:lvl>
    <w:lvl w:ilvl="4" w:tplc="CF20BEE2" w:tentative="1">
      <w:start w:val="1"/>
      <w:numFmt w:val="decimal"/>
      <w:lvlText w:val="%5."/>
      <w:lvlJc w:val="left"/>
      <w:pPr>
        <w:tabs>
          <w:tab w:val="num" w:pos="3600"/>
        </w:tabs>
        <w:ind w:left="3600" w:hanging="360"/>
      </w:pPr>
    </w:lvl>
    <w:lvl w:ilvl="5" w:tplc="8B129392" w:tentative="1">
      <w:start w:val="1"/>
      <w:numFmt w:val="decimal"/>
      <w:lvlText w:val="%6."/>
      <w:lvlJc w:val="left"/>
      <w:pPr>
        <w:tabs>
          <w:tab w:val="num" w:pos="4320"/>
        </w:tabs>
        <w:ind w:left="4320" w:hanging="360"/>
      </w:pPr>
    </w:lvl>
    <w:lvl w:ilvl="6" w:tplc="BB240E0C" w:tentative="1">
      <w:start w:val="1"/>
      <w:numFmt w:val="decimal"/>
      <w:lvlText w:val="%7."/>
      <w:lvlJc w:val="left"/>
      <w:pPr>
        <w:tabs>
          <w:tab w:val="num" w:pos="5040"/>
        </w:tabs>
        <w:ind w:left="5040" w:hanging="360"/>
      </w:pPr>
    </w:lvl>
    <w:lvl w:ilvl="7" w:tplc="3AFC1FB0" w:tentative="1">
      <w:start w:val="1"/>
      <w:numFmt w:val="decimal"/>
      <w:lvlText w:val="%8."/>
      <w:lvlJc w:val="left"/>
      <w:pPr>
        <w:tabs>
          <w:tab w:val="num" w:pos="5760"/>
        </w:tabs>
        <w:ind w:left="5760" w:hanging="360"/>
      </w:pPr>
    </w:lvl>
    <w:lvl w:ilvl="8" w:tplc="2E7A6EF2" w:tentative="1">
      <w:start w:val="1"/>
      <w:numFmt w:val="decimal"/>
      <w:lvlText w:val="%9."/>
      <w:lvlJc w:val="left"/>
      <w:pPr>
        <w:tabs>
          <w:tab w:val="num" w:pos="6480"/>
        </w:tabs>
        <w:ind w:left="6480" w:hanging="360"/>
      </w:pPr>
    </w:lvl>
  </w:abstractNum>
  <w:abstractNum w:abstractNumId="3" w15:restartNumberingAfterBreak="0">
    <w:nsid w:val="14536113"/>
    <w:multiLevelType w:val="hybridMultilevel"/>
    <w:tmpl w:val="B82ACB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3249B0"/>
    <w:multiLevelType w:val="hybridMultilevel"/>
    <w:tmpl w:val="599AC864"/>
    <w:lvl w:ilvl="0" w:tplc="3F46A9DE">
      <w:start w:val="1"/>
      <w:numFmt w:val="bullet"/>
      <w:lvlText w:val="-"/>
      <w:lvlJc w:val="left"/>
      <w:pPr>
        <w:tabs>
          <w:tab w:val="num" w:pos="720"/>
        </w:tabs>
        <w:ind w:left="720" w:hanging="360"/>
      </w:pPr>
      <w:rPr>
        <w:rFonts w:ascii="Times New Roman" w:hAnsi="Times New Roman" w:hint="default"/>
      </w:rPr>
    </w:lvl>
    <w:lvl w:ilvl="1" w:tplc="2ECA6128" w:tentative="1">
      <w:start w:val="1"/>
      <w:numFmt w:val="bullet"/>
      <w:lvlText w:val="-"/>
      <w:lvlJc w:val="left"/>
      <w:pPr>
        <w:tabs>
          <w:tab w:val="num" w:pos="1440"/>
        </w:tabs>
        <w:ind w:left="1440" w:hanging="360"/>
      </w:pPr>
      <w:rPr>
        <w:rFonts w:ascii="Times New Roman" w:hAnsi="Times New Roman" w:hint="default"/>
      </w:rPr>
    </w:lvl>
    <w:lvl w:ilvl="2" w:tplc="8FFE9BAE" w:tentative="1">
      <w:start w:val="1"/>
      <w:numFmt w:val="bullet"/>
      <w:lvlText w:val="-"/>
      <w:lvlJc w:val="left"/>
      <w:pPr>
        <w:tabs>
          <w:tab w:val="num" w:pos="2160"/>
        </w:tabs>
        <w:ind w:left="2160" w:hanging="360"/>
      </w:pPr>
      <w:rPr>
        <w:rFonts w:ascii="Times New Roman" w:hAnsi="Times New Roman" w:hint="default"/>
      </w:rPr>
    </w:lvl>
    <w:lvl w:ilvl="3" w:tplc="CCC0801E" w:tentative="1">
      <w:start w:val="1"/>
      <w:numFmt w:val="bullet"/>
      <w:lvlText w:val="-"/>
      <w:lvlJc w:val="left"/>
      <w:pPr>
        <w:tabs>
          <w:tab w:val="num" w:pos="2880"/>
        </w:tabs>
        <w:ind w:left="2880" w:hanging="360"/>
      </w:pPr>
      <w:rPr>
        <w:rFonts w:ascii="Times New Roman" w:hAnsi="Times New Roman" w:hint="default"/>
      </w:rPr>
    </w:lvl>
    <w:lvl w:ilvl="4" w:tplc="65D8A5E2" w:tentative="1">
      <w:start w:val="1"/>
      <w:numFmt w:val="bullet"/>
      <w:lvlText w:val="-"/>
      <w:lvlJc w:val="left"/>
      <w:pPr>
        <w:tabs>
          <w:tab w:val="num" w:pos="3600"/>
        </w:tabs>
        <w:ind w:left="3600" w:hanging="360"/>
      </w:pPr>
      <w:rPr>
        <w:rFonts w:ascii="Times New Roman" w:hAnsi="Times New Roman" w:hint="default"/>
      </w:rPr>
    </w:lvl>
    <w:lvl w:ilvl="5" w:tplc="7A14B0AA" w:tentative="1">
      <w:start w:val="1"/>
      <w:numFmt w:val="bullet"/>
      <w:lvlText w:val="-"/>
      <w:lvlJc w:val="left"/>
      <w:pPr>
        <w:tabs>
          <w:tab w:val="num" w:pos="4320"/>
        </w:tabs>
        <w:ind w:left="4320" w:hanging="360"/>
      </w:pPr>
      <w:rPr>
        <w:rFonts w:ascii="Times New Roman" w:hAnsi="Times New Roman" w:hint="default"/>
      </w:rPr>
    </w:lvl>
    <w:lvl w:ilvl="6" w:tplc="164CCE58" w:tentative="1">
      <w:start w:val="1"/>
      <w:numFmt w:val="bullet"/>
      <w:lvlText w:val="-"/>
      <w:lvlJc w:val="left"/>
      <w:pPr>
        <w:tabs>
          <w:tab w:val="num" w:pos="5040"/>
        </w:tabs>
        <w:ind w:left="5040" w:hanging="360"/>
      </w:pPr>
      <w:rPr>
        <w:rFonts w:ascii="Times New Roman" w:hAnsi="Times New Roman" w:hint="default"/>
      </w:rPr>
    </w:lvl>
    <w:lvl w:ilvl="7" w:tplc="C5C01384" w:tentative="1">
      <w:start w:val="1"/>
      <w:numFmt w:val="bullet"/>
      <w:lvlText w:val="-"/>
      <w:lvlJc w:val="left"/>
      <w:pPr>
        <w:tabs>
          <w:tab w:val="num" w:pos="5760"/>
        </w:tabs>
        <w:ind w:left="5760" w:hanging="360"/>
      </w:pPr>
      <w:rPr>
        <w:rFonts w:ascii="Times New Roman" w:hAnsi="Times New Roman" w:hint="default"/>
      </w:rPr>
    </w:lvl>
    <w:lvl w:ilvl="8" w:tplc="147897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8D51A5"/>
    <w:multiLevelType w:val="hybridMultilevel"/>
    <w:tmpl w:val="CF1A93CE"/>
    <w:lvl w:ilvl="0" w:tplc="BDE6A7A0">
      <w:start w:val="1"/>
      <w:numFmt w:val="decimal"/>
      <w:lvlText w:val="%1."/>
      <w:lvlJc w:val="left"/>
      <w:pPr>
        <w:tabs>
          <w:tab w:val="num" w:pos="720"/>
        </w:tabs>
        <w:ind w:left="720" w:hanging="360"/>
      </w:pPr>
    </w:lvl>
    <w:lvl w:ilvl="1" w:tplc="384652D0" w:tentative="1">
      <w:start w:val="1"/>
      <w:numFmt w:val="decimal"/>
      <w:lvlText w:val="%2."/>
      <w:lvlJc w:val="left"/>
      <w:pPr>
        <w:tabs>
          <w:tab w:val="num" w:pos="1440"/>
        </w:tabs>
        <w:ind w:left="1440" w:hanging="360"/>
      </w:pPr>
    </w:lvl>
    <w:lvl w:ilvl="2" w:tplc="8446F542" w:tentative="1">
      <w:start w:val="1"/>
      <w:numFmt w:val="decimal"/>
      <w:lvlText w:val="%3."/>
      <w:lvlJc w:val="left"/>
      <w:pPr>
        <w:tabs>
          <w:tab w:val="num" w:pos="2160"/>
        </w:tabs>
        <w:ind w:left="2160" w:hanging="360"/>
      </w:pPr>
    </w:lvl>
    <w:lvl w:ilvl="3" w:tplc="716A6836" w:tentative="1">
      <w:start w:val="1"/>
      <w:numFmt w:val="decimal"/>
      <w:lvlText w:val="%4."/>
      <w:lvlJc w:val="left"/>
      <w:pPr>
        <w:tabs>
          <w:tab w:val="num" w:pos="2880"/>
        </w:tabs>
        <w:ind w:left="2880" w:hanging="360"/>
      </w:pPr>
    </w:lvl>
    <w:lvl w:ilvl="4" w:tplc="80664096" w:tentative="1">
      <w:start w:val="1"/>
      <w:numFmt w:val="decimal"/>
      <w:lvlText w:val="%5."/>
      <w:lvlJc w:val="left"/>
      <w:pPr>
        <w:tabs>
          <w:tab w:val="num" w:pos="3600"/>
        </w:tabs>
        <w:ind w:left="3600" w:hanging="360"/>
      </w:pPr>
    </w:lvl>
    <w:lvl w:ilvl="5" w:tplc="41223F18" w:tentative="1">
      <w:start w:val="1"/>
      <w:numFmt w:val="decimal"/>
      <w:lvlText w:val="%6."/>
      <w:lvlJc w:val="left"/>
      <w:pPr>
        <w:tabs>
          <w:tab w:val="num" w:pos="4320"/>
        </w:tabs>
        <w:ind w:left="4320" w:hanging="360"/>
      </w:pPr>
    </w:lvl>
    <w:lvl w:ilvl="6" w:tplc="DD9662E0" w:tentative="1">
      <w:start w:val="1"/>
      <w:numFmt w:val="decimal"/>
      <w:lvlText w:val="%7."/>
      <w:lvlJc w:val="left"/>
      <w:pPr>
        <w:tabs>
          <w:tab w:val="num" w:pos="5040"/>
        </w:tabs>
        <w:ind w:left="5040" w:hanging="360"/>
      </w:pPr>
    </w:lvl>
    <w:lvl w:ilvl="7" w:tplc="B560B704" w:tentative="1">
      <w:start w:val="1"/>
      <w:numFmt w:val="decimal"/>
      <w:lvlText w:val="%8."/>
      <w:lvlJc w:val="left"/>
      <w:pPr>
        <w:tabs>
          <w:tab w:val="num" w:pos="5760"/>
        </w:tabs>
        <w:ind w:left="5760" w:hanging="360"/>
      </w:pPr>
    </w:lvl>
    <w:lvl w:ilvl="8" w:tplc="C1EE57A4" w:tentative="1">
      <w:start w:val="1"/>
      <w:numFmt w:val="decimal"/>
      <w:lvlText w:val="%9."/>
      <w:lvlJc w:val="left"/>
      <w:pPr>
        <w:tabs>
          <w:tab w:val="num" w:pos="6480"/>
        </w:tabs>
        <w:ind w:left="6480" w:hanging="360"/>
      </w:pPr>
    </w:lvl>
  </w:abstractNum>
  <w:abstractNum w:abstractNumId="6" w15:restartNumberingAfterBreak="0">
    <w:nsid w:val="225F6028"/>
    <w:multiLevelType w:val="hybridMultilevel"/>
    <w:tmpl w:val="3CC49D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F27BD4"/>
    <w:multiLevelType w:val="hybridMultilevel"/>
    <w:tmpl w:val="843EBD1A"/>
    <w:lvl w:ilvl="0" w:tplc="00E48334">
      <w:start w:val="1"/>
      <w:numFmt w:val="decimal"/>
      <w:lvlText w:val="%1."/>
      <w:lvlJc w:val="left"/>
      <w:pPr>
        <w:tabs>
          <w:tab w:val="num" w:pos="720"/>
        </w:tabs>
        <w:ind w:left="720" w:hanging="360"/>
      </w:pPr>
    </w:lvl>
    <w:lvl w:ilvl="1" w:tplc="EE98F782" w:tentative="1">
      <w:start w:val="1"/>
      <w:numFmt w:val="decimal"/>
      <w:lvlText w:val="%2."/>
      <w:lvlJc w:val="left"/>
      <w:pPr>
        <w:tabs>
          <w:tab w:val="num" w:pos="1440"/>
        </w:tabs>
        <w:ind w:left="1440" w:hanging="360"/>
      </w:pPr>
    </w:lvl>
    <w:lvl w:ilvl="2" w:tplc="EAF8D902" w:tentative="1">
      <w:start w:val="1"/>
      <w:numFmt w:val="decimal"/>
      <w:lvlText w:val="%3."/>
      <w:lvlJc w:val="left"/>
      <w:pPr>
        <w:tabs>
          <w:tab w:val="num" w:pos="2160"/>
        </w:tabs>
        <w:ind w:left="2160" w:hanging="360"/>
      </w:pPr>
    </w:lvl>
    <w:lvl w:ilvl="3" w:tplc="A8DC7780" w:tentative="1">
      <w:start w:val="1"/>
      <w:numFmt w:val="decimal"/>
      <w:lvlText w:val="%4."/>
      <w:lvlJc w:val="left"/>
      <w:pPr>
        <w:tabs>
          <w:tab w:val="num" w:pos="2880"/>
        </w:tabs>
        <w:ind w:left="2880" w:hanging="360"/>
      </w:pPr>
    </w:lvl>
    <w:lvl w:ilvl="4" w:tplc="CEEA686C" w:tentative="1">
      <w:start w:val="1"/>
      <w:numFmt w:val="decimal"/>
      <w:lvlText w:val="%5."/>
      <w:lvlJc w:val="left"/>
      <w:pPr>
        <w:tabs>
          <w:tab w:val="num" w:pos="3600"/>
        </w:tabs>
        <w:ind w:left="3600" w:hanging="360"/>
      </w:pPr>
    </w:lvl>
    <w:lvl w:ilvl="5" w:tplc="739A6C20" w:tentative="1">
      <w:start w:val="1"/>
      <w:numFmt w:val="decimal"/>
      <w:lvlText w:val="%6."/>
      <w:lvlJc w:val="left"/>
      <w:pPr>
        <w:tabs>
          <w:tab w:val="num" w:pos="4320"/>
        </w:tabs>
        <w:ind w:left="4320" w:hanging="360"/>
      </w:pPr>
    </w:lvl>
    <w:lvl w:ilvl="6" w:tplc="A44C8616" w:tentative="1">
      <w:start w:val="1"/>
      <w:numFmt w:val="decimal"/>
      <w:lvlText w:val="%7."/>
      <w:lvlJc w:val="left"/>
      <w:pPr>
        <w:tabs>
          <w:tab w:val="num" w:pos="5040"/>
        </w:tabs>
        <w:ind w:left="5040" w:hanging="360"/>
      </w:pPr>
    </w:lvl>
    <w:lvl w:ilvl="7" w:tplc="88DE4EAC" w:tentative="1">
      <w:start w:val="1"/>
      <w:numFmt w:val="decimal"/>
      <w:lvlText w:val="%8."/>
      <w:lvlJc w:val="left"/>
      <w:pPr>
        <w:tabs>
          <w:tab w:val="num" w:pos="5760"/>
        </w:tabs>
        <w:ind w:left="5760" w:hanging="360"/>
      </w:pPr>
    </w:lvl>
    <w:lvl w:ilvl="8" w:tplc="7EB8C63C" w:tentative="1">
      <w:start w:val="1"/>
      <w:numFmt w:val="decimal"/>
      <w:lvlText w:val="%9."/>
      <w:lvlJc w:val="left"/>
      <w:pPr>
        <w:tabs>
          <w:tab w:val="num" w:pos="6480"/>
        </w:tabs>
        <w:ind w:left="6480" w:hanging="360"/>
      </w:pPr>
    </w:lvl>
  </w:abstractNum>
  <w:abstractNum w:abstractNumId="8" w15:restartNumberingAfterBreak="0">
    <w:nsid w:val="30AC76FD"/>
    <w:multiLevelType w:val="multilevel"/>
    <w:tmpl w:val="41942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C3C6D"/>
    <w:multiLevelType w:val="hybridMultilevel"/>
    <w:tmpl w:val="C7F6D1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F5D0FEA"/>
    <w:multiLevelType w:val="hybridMultilevel"/>
    <w:tmpl w:val="8E8E67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AB3E61"/>
    <w:multiLevelType w:val="hybridMultilevel"/>
    <w:tmpl w:val="B39E54D0"/>
    <w:lvl w:ilvl="0" w:tplc="3B105F1A">
      <w:start w:val="1"/>
      <w:numFmt w:val="bullet"/>
      <w:lvlText w:val="-"/>
      <w:lvlJc w:val="left"/>
      <w:pPr>
        <w:tabs>
          <w:tab w:val="num" w:pos="720"/>
        </w:tabs>
        <w:ind w:left="720" w:hanging="360"/>
      </w:pPr>
      <w:rPr>
        <w:rFonts w:ascii="Times New Roman" w:hAnsi="Times New Roman" w:hint="default"/>
      </w:rPr>
    </w:lvl>
    <w:lvl w:ilvl="1" w:tplc="FD9AB18C" w:tentative="1">
      <w:start w:val="1"/>
      <w:numFmt w:val="bullet"/>
      <w:lvlText w:val="-"/>
      <w:lvlJc w:val="left"/>
      <w:pPr>
        <w:tabs>
          <w:tab w:val="num" w:pos="1440"/>
        </w:tabs>
        <w:ind w:left="1440" w:hanging="360"/>
      </w:pPr>
      <w:rPr>
        <w:rFonts w:ascii="Times New Roman" w:hAnsi="Times New Roman" w:hint="default"/>
      </w:rPr>
    </w:lvl>
    <w:lvl w:ilvl="2" w:tplc="B434CAC4" w:tentative="1">
      <w:start w:val="1"/>
      <w:numFmt w:val="bullet"/>
      <w:lvlText w:val="-"/>
      <w:lvlJc w:val="left"/>
      <w:pPr>
        <w:tabs>
          <w:tab w:val="num" w:pos="2160"/>
        </w:tabs>
        <w:ind w:left="2160" w:hanging="360"/>
      </w:pPr>
      <w:rPr>
        <w:rFonts w:ascii="Times New Roman" w:hAnsi="Times New Roman" w:hint="default"/>
      </w:rPr>
    </w:lvl>
    <w:lvl w:ilvl="3" w:tplc="6972B3F6" w:tentative="1">
      <w:start w:val="1"/>
      <w:numFmt w:val="bullet"/>
      <w:lvlText w:val="-"/>
      <w:lvlJc w:val="left"/>
      <w:pPr>
        <w:tabs>
          <w:tab w:val="num" w:pos="2880"/>
        </w:tabs>
        <w:ind w:left="2880" w:hanging="360"/>
      </w:pPr>
      <w:rPr>
        <w:rFonts w:ascii="Times New Roman" w:hAnsi="Times New Roman" w:hint="default"/>
      </w:rPr>
    </w:lvl>
    <w:lvl w:ilvl="4" w:tplc="58261FCA" w:tentative="1">
      <w:start w:val="1"/>
      <w:numFmt w:val="bullet"/>
      <w:lvlText w:val="-"/>
      <w:lvlJc w:val="left"/>
      <w:pPr>
        <w:tabs>
          <w:tab w:val="num" w:pos="3600"/>
        </w:tabs>
        <w:ind w:left="3600" w:hanging="360"/>
      </w:pPr>
      <w:rPr>
        <w:rFonts w:ascii="Times New Roman" w:hAnsi="Times New Roman" w:hint="default"/>
      </w:rPr>
    </w:lvl>
    <w:lvl w:ilvl="5" w:tplc="F39EB6CC" w:tentative="1">
      <w:start w:val="1"/>
      <w:numFmt w:val="bullet"/>
      <w:lvlText w:val="-"/>
      <w:lvlJc w:val="left"/>
      <w:pPr>
        <w:tabs>
          <w:tab w:val="num" w:pos="4320"/>
        </w:tabs>
        <w:ind w:left="4320" w:hanging="360"/>
      </w:pPr>
      <w:rPr>
        <w:rFonts w:ascii="Times New Roman" w:hAnsi="Times New Roman" w:hint="default"/>
      </w:rPr>
    </w:lvl>
    <w:lvl w:ilvl="6" w:tplc="300E17AA" w:tentative="1">
      <w:start w:val="1"/>
      <w:numFmt w:val="bullet"/>
      <w:lvlText w:val="-"/>
      <w:lvlJc w:val="left"/>
      <w:pPr>
        <w:tabs>
          <w:tab w:val="num" w:pos="5040"/>
        </w:tabs>
        <w:ind w:left="5040" w:hanging="360"/>
      </w:pPr>
      <w:rPr>
        <w:rFonts w:ascii="Times New Roman" w:hAnsi="Times New Roman" w:hint="default"/>
      </w:rPr>
    </w:lvl>
    <w:lvl w:ilvl="7" w:tplc="58B47B16" w:tentative="1">
      <w:start w:val="1"/>
      <w:numFmt w:val="bullet"/>
      <w:lvlText w:val="-"/>
      <w:lvlJc w:val="left"/>
      <w:pPr>
        <w:tabs>
          <w:tab w:val="num" w:pos="5760"/>
        </w:tabs>
        <w:ind w:left="5760" w:hanging="360"/>
      </w:pPr>
      <w:rPr>
        <w:rFonts w:ascii="Times New Roman" w:hAnsi="Times New Roman" w:hint="default"/>
      </w:rPr>
    </w:lvl>
    <w:lvl w:ilvl="8" w:tplc="8A766CD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D5B6104"/>
    <w:multiLevelType w:val="hybridMultilevel"/>
    <w:tmpl w:val="41A48D84"/>
    <w:lvl w:ilvl="0" w:tplc="7AC8ED6C">
      <w:start w:val="1"/>
      <w:numFmt w:val="bullet"/>
      <w:lvlText w:val="•"/>
      <w:lvlJc w:val="left"/>
      <w:pPr>
        <w:tabs>
          <w:tab w:val="num" w:pos="720"/>
        </w:tabs>
        <w:ind w:left="720" w:hanging="360"/>
      </w:pPr>
      <w:rPr>
        <w:rFonts w:ascii="Arial" w:hAnsi="Arial" w:hint="default"/>
      </w:rPr>
    </w:lvl>
    <w:lvl w:ilvl="1" w:tplc="E8F6C2AC" w:tentative="1">
      <w:start w:val="1"/>
      <w:numFmt w:val="bullet"/>
      <w:lvlText w:val="•"/>
      <w:lvlJc w:val="left"/>
      <w:pPr>
        <w:tabs>
          <w:tab w:val="num" w:pos="1440"/>
        </w:tabs>
        <w:ind w:left="1440" w:hanging="360"/>
      </w:pPr>
      <w:rPr>
        <w:rFonts w:ascii="Arial" w:hAnsi="Arial" w:hint="default"/>
      </w:rPr>
    </w:lvl>
    <w:lvl w:ilvl="2" w:tplc="EC2A8F70" w:tentative="1">
      <w:start w:val="1"/>
      <w:numFmt w:val="bullet"/>
      <w:lvlText w:val="•"/>
      <w:lvlJc w:val="left"/>
      <w:pPr>
        <w:tabs>
          <w:tab w:val="num" w:pos="2160"/>
        </w:tabs>
        <w:ind w:left="2160" w:hanging="360"/>
      </w:pPr>
      <w:rPr>
        <w:rFonts w:ascii="Arial" w:hAnsi="Arial" w:hint="default"/>
      </w:rPr>
    </w:lvl>
    <w:lvl w:ilvl="3" w:tplc="67B06330" w:tentative="1">
      <w:start w:val="1"/>
      <w:numFmt w:val="bullet"/>
      <w:lvlText w:val="•"/>
      <w:lvlJc w:val="left"/>
      <w:pPr>
        <w:tabs>
          <w:tab w:val="num" w:pos="2880"/>
        </w:tabs>
        <w:ind w:left="2880" w:hanging="360"/>
      </w:pPr>
      <w:rPr>
        <w:rFonts w:ascii="Arial" w:hAnsi="Arial" w:hint="default"/>
      </w:rPr>
    </w:lvl>
    <w:lvl w:ilvl="4" w:tplc="A4503966" w:tentative="1">
      <w:start w:val="1"/>
      <w:numFmt w:val="bullet"/>
      <w:lvlText w:val="•"/>
      <w:lvlJc w:val="left"/>
      <w:pPr>
        <w:tabs>
          <w:tab w:val="num" w:pos="3600"/>
        </w:tabs>
        <w:ind w:left="3600" w:hanging="360"/>
      </w:pPr>
      <w:rPr>
        <w:rFonts w:ascii="Arial" w:hAnsi="Arial" w:hint="default"/>
      </w:rPr>
    </w:lvl>
    <w:lvl w:ilvl="5" w:tplc="550E8FA2" w:tentative="1">
      <w:start w:val="1"/>
      <w:numFmt w:val="bullet"/>
      <w:lvlText w:val="•"/>
      <w:lvlJc w:val="left"/>
      <w:pPr>
        <w:tabs>
          <w:tab w:val="num" w:pos="4320"/>
        </w:tabs>
        <w:ind w:left="4320" w:hanging="360"/>
      </w:pPr>
      <w:rPr>
        <w:rFonts w:ascii="Arial" w:hAnsi="Arial" w:hint="default"/>
      </w:rPr>
    </w:lvl>
    <w:lvl w:ilvl="6" w:tplc="D3A297D8" w:tentative="1">
      <w:start w:val="1"/>
      <w:numFmt w:val="bullet"/>
      <w:lvlText w:val="•"/>
      <w:lvlJc w:val="left"/>
      <w:pPr>
        <w:tabs>
          <w:tab w:val="num" w:pos="5040"/>
        </w:tabs>
        <w:ind w:left="5040" w:hanging="360"/>
      </w:pPr>
      <w:rPr>
        <w:rFonts w:ascii="Arial" w:hAnsi="Arial" w:hint="default"/>
      </w:rPr>
    </w:lvl>
    <w:lvl w:ilvl="7" w:tplc="AB86C7B8" w:tentative="1">
      <w:start w:val="1"/>
      <w:numFmt w:val="bullet"/>
      <w:lvlText w:val="•"/>
      <w:lvlJc w:val="left"/>
      <w:pPr>
        <w:tabs>
          <w:tab w:val="num" w:pos="5760"/>
        </w:tabs>
        <w:ind w:left="5760" w:hanging="360"/>
      </w:pPr>
      <w:rPr>
        <w:rFonts w:ascii="Arial" w:hAnsi="Arial" w:hint="default"/>
      </w:rPr>
    </w:lvl>
    <w:lvl w:ilvl="8" w:tplc="973EC8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194D0B"/>
    <w:multiLevelType w:val="hybridMultilevel"/>
    <w:tmpl w:val="B26ED976"/>
    <w:lvl w:ilvl="0" w:tplc="32D0DDA2">
      <w:start w:val="1"/>
      <w:numFmt w:val="bullet"/>
      <w:lvlText w:val=""/>
      <w:lvlJc w:val="left"/>
      <w:pPr>
        <w:tabs>
          <w:tab w:val="num" w:pos="720"/>
        </w:tabs>
        <w:ind w:left="720" w:hanging="360"/>
      </w:pPr>
      <w:rPr>
        <w:rFonts w:ascii="Wingdings" w:hAnsi="Wingdings" w:hint="default"/>
      </w:rPr>
    </w:lvl>
    <w:lvl w:ilvl="1" w:tplc="2B7EFEA8" w:tentative="1">
      <w:start w:val="1"/>
      <w:numFmt w:val="bullet"/>
      <w:lvlText w:val=""/>
      <w:lvlJc w:val="left"/>
      <w:pPr>
        <w:tabs>
          <w:tab w:val="num" w:pos="1440"/>
        </w:tabs>
        <w:ind w:left="1440" w:hanging="360"/>
      </w:pPr>
      <w:rPr>
        <w:rFonts w:ascii="Wingdings" w:hAnsi="Wingdings" w:hint="default"/>
      </w:rPr>
    </w:lvl>
    <w:lvl w:ilvl="2" w:tplc="24CAD376" w:tentative="1">
      <w:start w:val="1"/>
      <w:numFmt w:val="bullet"/>
      <w:lvlText w:val=""/>
      <w:lvlJc w:val="left"/>
      <w:pPr>
        <w:tabs>
          <w:tab w:val="num" w:pos="2160"/>
        </w:tabs>
        <w:ind w:left="2160" w:hanging="360"/>
      </w:pPr>
      <w:rPr>
        <w:rFonts w:ascii="Wingdings" w:hAnsi="Wingdings" w:hint="default"/>
      </w:rPr>
    </w:lvl>
    <w:lvl w:ilvl="3" w:tplc="E4985656" w:tentative="1">
      <w:start w:val="1"/>
      <w:numFmt w:val="bullet"/>
      <w:lvlText w:val=""/>
      <w:lvlJc w:val="left"/>
      <w:pPr>
        <w:tabs>
          <w:tab w:val="num" w:pos="2880"/>
        </w:tabs>
        <w:ind w:left="2880" w:hanging="360"/>
      </w:pPr>
      <w:rPr>
        <w:rFonts w:ascii="Wingdings" w:hAnsi="Wingdings" w:hint="default"/>
      </w:rPr>
    </w:lvl>
    <w:lvl w:ilvl="4" w:tplc="81E6B96A" w:tentative="1">
      <w:start w:val="1"/>
      <w:numFmt w:val="bullet"/>
      <w:lvlText w:val=""/>
      <w:lvlJc w:val="left"/>
      <w:pPr>
        <w:tabs>
          <w:tab w:val="num" w:pos="3600"/>
        </w:tabs>
        <w:ind w:left="3600" w:hanging="360"/>
      </w:pPr>
      <w:rPr>
        <w:rFonts w:ascii="Wingdings" w:hAnsi="Wingdings" w:hint="default"/>
      </w:rPr>
    </w:lvl>
    <w:lvl w:ilvl="5" w:tplc="B2724CC6" w:tentative="1">
      <w:start w:val="1"/>
      <w:numFmt w:val="bullet"/>
      <w:lvlText w:val=""/>
      <w:lvlJc w:val="left"/>
      <w:pPr>
        <w:tabs>
          <w:tab w:val="num" w:pos="4320"/>
        </w:tabs>
        <w:ind w:left="4320" w:hanging="360"/>
      </w:pPr>
      <w:rPr>
        <w:rFonts w:ascii="Wingdings" w:hAnsi="Wingdings" w:hint="default"/>
      </w:rPr>
    </w:lvl>
    <w:lvl w:ilvl="6" w:tplc="DC427758" w:tentative="1">
      <w:start w:val="1"/>
      <w:numFmt w:val="bullet"/>
      <w:lvlText w:val=""/>
      <w:lvlJc w:val="left"/>
      <w:pPr>
        <w:tabs>
          <w:tab w:val="num" w:pos="5040"/>
        </w:tabs>
        <w:ind w:left="5040" w:hanging="360"/>
      </w:pPr>
      <w:rPr>
        <w:rFonts w:ascii="Wingdings" w:hAnsi="Wingdings" w:hint="default"/>
      </w:rPr>
    </w:lvl>
    <w:lvl w:ilvl="7" w:tplc="CDF84C16" w:tentative="1">
      <w:start w:val="1"/>
      <w:numFmt w:val="bullet"/>
      <w:lvlText w:val=""/>
      <w:lvlJc w:val="left"/>
      <w:pPr>
        <w:tabs>
          <w:tab w:val="num" w:pos="5760"/>
        </w:tabs>
        <w:ind w:left="5760" w:hanging="360"/>
      </w:pPr>
      <w:rPr>
        <w:rFonts w:ascii="Wingdings" w:hAnsi="Wingdings" w:hint="default"/>
      </w:rPr>
    </w:lvl>
    <w:lvl w:ilvl="8" w:tplc="7CB244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4D1771"/>
    <w:multiLevelType w:val="hybridMultilevel"/>
    <w:tmpl w:val="08C01C3E"/>
    <w:lvl w:ilvl="0" w:tplc="DE8C241C">
      <w:start w:val="1"/>
      <w:numFmt w:val="decimal"/>
      <w:lvlText w:val="%1)"/>
      <w:lvlJc w:val="left"/>
      <w:pPr>
        <w:tabs>
          <w:tab w:val="num" w:pos="720"/>
        </w:tabs>
        <w:ind w:left="720" w:hanging="360"/>
      </w:pPr>
    </w:lvl>
    <w:lvl w:ilvl="1" w:tplc="8730A576" w:tentative="1">
      <w:start w:val="1"/>
      <w:numFmt w:val="decimal"/>
      <w:lvlText w:val="%2)"/>
      <w:lvlJc w:val="left"/>
      <w:pPr>
        <w:tabs>
          <w:tab w:val="num" w:pos="1440"/>
        </w:tabs>
        <w:ind w:left="1440" w:hanging="360"/>
      </w:pPr>
    </w:lvl>
    <w:lvl w:ilvl="2" w:tplc="360023E4" w:tentative="1">
      <w:start w:val="1"/>
      <w:numFmt w:val="decimal"/>
      <w:lvlText w:val="%3)"/>
      <w:lvlJc w:val="left"/>
      <w:pPr>
        <w:tabs>
          <w:tab w:val="num" w:pos="2160"/>
        </w:tabs>
        <w:ind w:left="2160" w:hanging="360"/>
      </w:pPr>
    </w:lvl>
    <w:lvl w:ilvl="3" w:tplc="4888D6DA" w:tentative="1">
      <w:start w:val="1"/>
      <w:numFmt w:val="decimal"/>
      <w:lvlText w:val="%4)"/>
      <w:lvlJc w:val="left"/>
      <w:pPr>
        <w:tabs>
          <w:tab w:val="num" w:pos="2880"/>
        </w:tabs>
        <w:ind w:left="2880" w:hanging="360"/>
      </w:pPr>
    </w:lvl>
    <w:lvl w:ilvl="4" w:tplc="F91C4C02" w:tentative="1">
      <w:start w:val="1"/>
      <w:numFmt w:val="decimal"/>
      <w:lvlText w:val="%5)"/>
      <w:lvlJc w:val="left"/>
      <w:pPr>
        <w:tabs>
          <w:tab w:val="num" w:pos="3600"/>
        </w:tabs>
        <w:ind w:left="3600" w:hanging="360"/>
      </w:pPr>
    </w:lvl>
    <w:lvl w:ilvl="5" w:tplc="38241C4E" w:tentative="1">
      <w:start w:val="1"/>
      <w:numFmt w:val="decimal"/>
      <w:lvlText w:val="%6)"/>
      <w:lvlJc w:val="left"/>
      <w:pPr>
        <w:tabs>
          <w:tab w:val="num" w:pos="4320"/>
        </w:tabs>
        <w:ind w:left="4320" w:hanging="360"/>
      </w:pPr>
    </w:lvl>
    <w:lvl w:ilvl="6" w:tplc="4920B626" w:tentative="1">
      <w:start w:val="1"/>
      <w:numFmt w:val="decimal"/>
      <w:lvlText w:val="%7)"/>
      <w:lvlJc w:val="left"/>
      <w:pPr>
        <w:tabs>
          <w:tab w:val="num" w:pos="5040"/>
        </w:tabs>
        <w:ind w:left="5040" w:hanging="360"/>
      </w:pPr>
    </w:lvl>
    <w:lvl w:ilvl="7" w:tplc="7F0676A4" w:tentative="1">
      <w:start w:val="1"/>
      <w:numFmt w:val="decimal"/>
      <w:lvlText w:val="%8)"/>
      <w:lvlJc w:val="left"/>
      <w:pPr>
        <w:tabs>
          <w:tab w:val="num" w:pos="5760"/>
        </w:tabs>
        <w:ind w:left="5760" w:hanging="360"/>
      </w:pPr>
    </w:lvl>
    <w:lvl w:ilvl="8" w:tplc="F550C134" w:tentative="1">
      <w:start w:val="1"/>
      <w:numFmt w:val="decimal"/>
      <w:lvlText w:val="%9)"/>
      <w:lvlJc w:val="left"/>
      <w:pPr>
        <w:tabs>
          <w:tab w:val="num" w:pos="6480"/>
        </w:tabs>
        <w:ind w:left="6480" w:hanging="360"/>
      </w:pPr>
    </w:lvl>
  </w:abstractNum>
  <w:abstractNum w:abstractNumId="15" w15:restartNumberingAfterBreak="0">
    <w:nsid w:val="5C6312B0"/>
    <w:multiLevelType w:val="hybridMultilevel"/>
    <w:tmpl w:val="60A4E29E"/>
    <w:lvl w:ilvl="0" w:tplc="A86CA7BC">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E200CE"/>
    <w:multiLevelType w:val="hybridMultilevel"/>
    <w:tmpl w:val="16E25232"/>
    <w:lvl w:ilvl="0" w:tplc="9EE42A5E">
      <w:start w:val="1"/>
      <w:numFmt w:val="decimal"/>
      <w:lvlText w:val="%1)"/>
      <w:lvlJc w:val="left"/>
      <w:pPr>
        <w:tabs>
          <w:tab w:val="num" w:pos="720"/>
        </w:tabs>
        <w:ind w:left="720" w:hanging="360"/>
      </w:pPr>
    </w:lvl>
    <w:lvl w:ilvl="1" w:tplc="B8FAD152" w:tentative="1">
      <w:start w:val="1"/>
      <w:numFmt w:val="decimal"/>
      <w:lvlText w:val="%2)"/>
      <w:lvlJc w:val="left"/>
      <w:pPr>
        <w:tabs>
          <w:tab w:val="num" w:pos="1440"/>
        </w:tabs>
        <w:ind w:left="1440" w:hanging="360"/>
      </w:pPr>
    </w:lvl>
    <w:lvl w:ilvl="2" w:tplc="BD805D7C" w:tentative="1">
      <w:start w:val="1"/>
      <w:numFmt w:val="decimal"/>
      <w:lvlText w:val="%3)"/>
      <w:lvlJc w:val="left"/>
      <w:pPr>
        <w:tabs>
          <w:tab w:val="num" w:pos="2160"/>
        </w:tabs>
        <w:ind w:left="2160" w:hanging="360"/>
      </w:pPr>
    </w:lvl>
    <w:lvl w:ilvl="3" w:tplc="B09E2D48" w:tentative="1">
      <w:start w:val="1"/>
      <w:numFmt w:val="decimal"/>
      <w:lvlText w:val="%4)"/>
      <w:lvlJc w:val="left"/>
      <w:pPr>
        <w:tabs>
          <w:tab w:val="num" w:pos="2880"/>
        </w:tabs>
        <w:ind w:left="2880" w:hanging="360"/>
      </w:pPr>
    </w:lvl>
    <w:lvl w:ilvl="4" w:tplc="67EC69D4" w:tentative="1">
      <w:start w:val="1"/>
      <w:numFmt w:val="decimal"/>
      <w:lvlText w:val="%5)"/>
      <w:lvlJc w:val="left"/>
      <w:pPr>
        <w:tabs>
          <w:tab w:val="num" w:pos="3600"/>
        </w:tabs>
        <w:ind w:left="3600" w:hanging="360"/>
      </w:pPr>
    </w:lvl>
    <w:lvl w:ilvl="5" w:tplc="8A94BC7E" w:tentative="1">
      <w:start w:val="1"/>
      <w:numFmt w:val="decimal"/>
      <w:lvlText w:val="%6)"/>
      <w:lvlJc w:val="left"/>
      <w:pPr>
        <w:tabs>
          <w:tab w:val="num" w:pos="4320"/>
        </w:tabs>
        <w:ind w:left="4320" w:hanging="360"/>
      </w:pPr>
    </w:lvl>
    <w:lvl w:ilvl="6" w:tplc="A6AECD10" w:tentative="1">
      <w:start w:val="1"/>
      <w:numFmt w:val="decimal"/>
      <w:lvlText w:val="%7)"/>
      <w:lvlJc w:val="left"/>
      <w:pPr>
        <w:tabs>
          <w:tab w:val="num" w:pos="5040"/>
        </w:tabs>
        <w:ind w:left="5040" w:hanging="360"/>
      </w:pPr>
    </w:lvl>
    <w:lvl w:ilvl="7" w:tplc="9E70BEA6" w:tentative="1">
      <w:start w:val="1"/>
      <w:numFmt w:val="decimal"/>
      <w:lvlText w:val="%8)"/>
      <w:lvlJc w:val="left"/>
      <w:pPr>
        <w:tabs>
          <w:tab w:val="num" w:pos="5760"/>
        </w:tabs>
        <w:ind w:left="5760" w:hanging="360"/>
      </w:pPr>
    </w:lvl>
    <w:lvl w:ilvl="8" w:tplc="6AB880E0" w:tentative="1">
      <w:start w:val="1"/>
      <w:numFmt w:val="decimal"/>
      <w:lvlText w:val="%9)"/>
      <w:lvlJc w:val="left"/>
      <w:pPr>
        <w:tabs>
          <w:tab w:val="num" w:pos="6480"/>
        </w:tabs>
        <w:ind w:left="6480" w:hanging="360"/>
      </w:pPr>
    </w:lvl>
  </w:abstractNum>
  <w:abstractNum w:abstractNumId="17" w15:restartNumberingAfterBreak="0">
    <w:nsid w:val="5F947581"/>
    <w:multiLevelType w:val="hybridMultilevel"/>
    <w:tmpl w:val="6714CA0A"/>
    <w:lvl w:ilvl="0" w:tplc="88D4B83E">
      <w:start w:val="1"/>
      <w:numFmt w:val="bullet"/>
      <w:lvlText w:val=""/>
      <w:lvlJc w:val="left"/>
      <w:pPr>
        <w:tabs>
          <w:tab w:val="num" w:pos="720"/>
        </w:tabs>
        <w:ind w:left="720" w:hanging="360"/>
      </w:pPr>
      <w:rPr>
        <w:rFonts w:ascii="Symbol" w:hAnsi="Symbol" w:hint="default"/>
      </w:rPr>
    </w:lvl>
    <w:lvl w:ilvl="1" w:tplc="BD7A7F94" w:tentative="1">
      <w:start w:val="1"/>
      <w:numFmt w:val="bullet"/>
      <w:lvlText w:val=""/>
      <w:lvlJc w:val="left"/>
      <w:pPr>
        <w:tabs>
          <w:tab w:val="num" w:pos="1440"/>
        </w:tabs>
        <w:ind w:left="1440" w:hanging="360"/>
      </w:pPr>
      <w:rPr>
        <w:rFonts w:ascii="Symbol" w:hAnsi="Symbol" w:hint="default"/>
      </w:rPr>
    </w:lvl>
    <w:lvl w:ilvl="2" w:tplc="B748E614" w:tentative="1">
      <w:start w:val="1"/>
      <w:numFmt w:val="bullet"/>
      <w:lvlText w:val=""/>
      <w:lvlJc w:val="left"/>
      <w:pPr>
        <w:tabs>
          <w:tab w:val="num" w:pos="2160"/>
        </w:tabs>
        <w:ind w:left="2160" w:hanging="360"/>
      </w:pPr>
      <w:rPr>
        <w:rFonts w:ascii="Symbol" w:hAnsi="Symbol" w:hint="default"/>
      </w:rPr>
    </w:lvl>
    <w:lvl w:ilvl="3" w:tplc="50AAF1BE" w:tentative="1">
      <w:start w:val="1"/>
      <w:numFmt w:val="bullet"/>
      <w:lvlText w:val=""/>
      <w:lvlJc w:val="left"/>
      <w:pPr>
        <w:tabs>
          <w:tab w:val="num" w:pos="2880"/>
        </w:tabs>
        <w:ind w:left="2880" w:hanging="360"/>
      </w:pPr>
      <w:rPr>
        <w:rFonts w:ascii="Symbol" w:hAnsi="Symbol" w:hint="default"/>
      </w:rPr>
    </w:lvl>
    <w:lvl w:ilvl="4" w:tplc="B04CD7E8" w:tentative="1">
      <w:start w:val="1"/>
      <w:numFmt w:val="bullet"/>
      <w:lvlText w:val=""/>
      <w:lvlJc w:val="left"/>
      <w:pPr>
        <w:tabs>
          <w:tab w:val="num" w:pos="3600"/>
        </w:tabs>
        <w:ind w:left="3600" w:hanging="360"/>
      </w:pPr>
      <w:rPr>
        <w:rFonts w:ascii="Symbol" w:hAnsi="Symbol" w:hint="default"/>
      </w:rPr>
    </w:lvl>
    <w:lvl w:ilvl="5" w:tplc="83024C6E" w:tentative="1">
      <w:start w:val="1"/>
      <w:numFmt w:val="bullet"/>
      <w:lvlText w:val=""/>
      <w:lvlJc w:val="left"/>
      <w:pPr>
        <w:tabs>
          <w:tab w:val="num" w:pos="4320"/>
        </w:tabs>
        <w:ind w:left="4320" w:hanging="360"/>
      </w:pPr>
      <w:rPr>
        <w:rFonts w:ascii="Symbol" w:hAnsi="Symbol" w:hint="default"/>
      </w:rPr>
    </w:lvl>
    <w:lvl w:ilvl="6" w:tplc="95B2621A" w:tentative="1">
      <w:start w:val="1"/>
      <w:numFmt w:val="bullet"/>
      <w:lvlText w:val=""/>
      <w:lvlJc w:val="left"/>
      <w:pPr>
        <w:tabs>
          <w:tab w:val="num" w:pos="5040"/>
        </w:tabs>
        <w:ind w:left="5040" w:hanging="360"/>
      </w:pPr>
      <w:rPr>
        <w:rFonts w:ascii="Symbol" w:hAnsi="Symbol" w:hint="default"/>
      </w:rPr>
    </w:lvl>
    <w:lvl w:ilvl="7" w:tplc="FF8A11B2" w:tentative="1">
      <w:start w:val="1"/>
      <w:numFmt w:val="bullet"/>
      <w:lvlText w:val=""/>
      <w:lvlJc w:val="left"/>
      <w:pPr>
        <w:tabs>
          <w:tab w:val="num" w:pos="5760"/>
        </w:tabs>
        <w:ind w:left="5760" w:hanging="360"/>
      </w:pPr>
      <w:rPr>
        <w:rFonts w:ascii="Symbol" w:hAnsi="Symbol" w:hint="default"/>
      </w:rPr>
    </w:lvl>
    <w:lvl w:ilvl="8" w:tplc="33EEB31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2B040B5"/>
    <w:multiLevelType w:val="hybridMultilevel"/>
    <w:tmpl w:val="054805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F04B45"/>
    <w:multiLevelType w:val="hybridMultilevel"/>
    <w:tmpl w:val="1B82A5F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730783"/>
    <w:multiLevelType w:val="hybridMultilevel"/>
    <w:tmpl w:val="99281D1C"/>
    <w:lvl w:ilvl="0" w:tplc="D5C0CB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05F450D"/>
    <w:multiLevelType w:val="hybridMultilevel"/>
    <w:tmpl w:val="99E69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7F7B05"/>
    <w:multiLevelType w:val="hybridMultilevel"/>
    <w:tmpl w:val="8550D8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0"/>
  </w:num>
  <w:num w:numId="2">
    <w:abstractNumId w:val="18"/>
  </w:num>
  <w:num w:numId="3">
    <w:abstractNumId w:val="0"/>
  </w:num>
  <w:num w:numId="4">
    <w:abstractNumId w:val="9"/>
  </w:num>
  <w:num w:numId="5">
    <w:abstractNumId w:val="22"/>
  </w:num>
  <w:num w:numId="6">
    <w:abstractNumId w:val="17"/>
  </w:num>
  <w:num w:numId="7">
    <w:abstractNumId w:val="12"/>
  </w:num>
  <w:num w:numId="8">
    <w:abstractNumId w:val="5"/>
  </w:num>
  <w:num w:numId="9">
    <w:abstractNumId w:val="7"/>
  </w:num>
  <w:num w:numId="10">
    <w:abstractNumId w:val="1"/>
  </w:num>
  <w:num w:numId="11">
    <w:abstractNumId w:val="6"/>
  </w:num>
  <w:num w:numId="12">
    <w:abstractNumId w:val="19"/>
  </w:num>
  <w:num w:numId="13">
    <w:abstractNumId w:val="21"/>
  </w:num>
  <w:num w:numId="14">
    <w:abstractNumId w:val="2"/>
  </w:num>
  <w:num w:numId="15">
    <w:abstractNumId w:val="16"/>
  </w:num>
  <w:num w:numId="16">
    <w:abstractNumId w:val="3"/>
  </w:num>
  <w:num w:numId="17">
    <w:abstractNumId w:val="14"/>
  </w:num>
  <w:num w:numId="18">
    <w:abstractNumId w:val="20"/>
  </w:num>
  <w:num w:numId="19">
    <w:abstractNumId w:val="8"/>
  </w:num>
  <w:num w:numId="20">
    <w:abstractNumId w:val="11"/>
  </w:num>
  <w:num w:numId="21">
    <w:abstractNumId w:val="13"/>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2MjQytbS0NDYAAiUdpeDU4uLM/DyQAhODWgAhhb25LQAAAA=="/>
  </w:docVars>
  <w:rsids>
    <w:rsidRoot w:val="000944C8"/>
    <w:rsid w:val="00000030"/>
    <w:rsid w:val="00000908"/>
    <w:rsid w:val="000009D4"/>
    <w:rsid w:val="00000AF8"/>
    <w:rsid w:val="00000E5A"/>
    <w:rsid w:val="0000150D"/>
    <w:rsid w:val="0000180B"/>
    <w:rsid w:val="00001C89"/>
    <w:rsid w:val="00001CF1"/>
    <w:rsid w:val="000021AC"/>
    <w:rsid w:val="00002643"/>
    <w:rsid w:val="0000318E"/>
    <w:rsid w:val="000038F5"/>
    <w:rsid w:val="00003B93"/>
    <w:rsid w:val="00004120"/>
    <w:rsid w:val="00004A8A"/>
    <w:rsid w:val="000050BC"/>
    <w:rsid w:val="00005540"/>
    <w:rsid w:val="0000564E"/>
    <w:rsid w:val="00005916"/>
    <w:rsid w:val="00005A0A"/>
    <w:rsid w:val="00006465"/>
    <w:rsid w:val="000064C5"/>
    <w:rsid w:val="00006783"/>
    <w:rsid w:val="000068EA"/>
    <w:rsid w:val="00006BED"/>
    <w:rsid w:val="0000706D"/>
    <w:rsid w:val="000070F6"/>
    <w:rsid w:val="00010938"/>
    <w:rsid w:val="00010CA7"/>
    <w:rsid w:val="00010E62"/>
    <w:rsid w:val="00011D86"/>
    <w:rsid w:val="0001232F"/>
    <w:rsid w:val="000126E6"/>
    <w:rsid w:val="00012D8C"/>
    <w:rsid w:val="000138C0"/>
    <w:rsid w:val="00013C21"/>
    <w:rsid w:val="00014312"/>
    <w:rsid w:val="00014B3F"/>
    <w:rsid w:val="000153E3"/>
    <w:rsid w:val="0001619C"/>
    <w:rsid w:val="000165FF"/>
    <w:rsid w:val="00016EC9"/>
    <w:rsid w:val="000178C8"/>
    <w:rsid w:val="00020922"/>
    <w:rsid w:val="00020927"/>
    <w:rsid w:val="00021099"/>
    <w:rsid w:val="00021AAF"/>
    <w:rsid w:val="000224C2"/>
    <w:rsid w:val="000229B2"/>
    <w:rsid w:val="00022B22"/>
    <w:rsid w:val="0002348E"/>
    <w:rsid w:val="0002355D"/>
    <w:rsid w:val="00023787"/>
    <w:rsid w:val="00023AC4"/>
    <w:rsid w:val="000241C6"/>
    <w:rsid w:val="00024C8E"/>
    <w:rsid w:val="00025459"/>
    <w:rsid w:val="00026EB8"/>
    <w:rsid w:val="00027CD7"/>
    <w:rsid w:val="00030192"/>
    <w:rsid w:val="0003035B"/>
    <w:rsid w:val="00030438"/>
    <w:rsid w:val="00030BCE"/>
    <w:rsid w:val="0003163D"/>
    <w:rsid w:val="00031657"/>
    <w:rsid w:val="0003194C"/>
    <w:rsid w:val="0003211E"/>
    <w:rsid w:val="000329A5"/>
    <w:rsid w:val="00032B17"/>
    <w:rsid w:val="00032B43"/>
    <w:rsid w:val="00032E62"/>
    <w:rsid w:val="000331FF"/>
    <w:rsid w:val="0003393D"/>
    <w:rsid w:val="00033DF6"/>
    <w:rsid w:val="00034D19"/>
    <w:rsid w:val="00034EC3"/>
    <w:rsid w:val="00034F88"/>
    <w:rsid w:val="00035229"/>
    <w:rsid w:val="00035801"/>
    <w:rsid w:val="00036C16"/>
    <w:rsid w:val="0003729F"/>
    <w:rsid w:val="00037B2C"/>
    <w:rsid w:val="00037DF8"/>
    <w:rsid w:val="00037FF9"/>
    <w:rsid w:val="00040B20"/>
    <w:rsid w:val="00041081"/>
    <w:rsid w:val="00041116"/>
    <w:rsid w:val="00043042"/>
    <w:rsid w:val="00043778"/>
    <w:rsid w:val="00043BD7"/>
    <w:rsid w:val="00043EF1"/>
    <w:rsid w:val="0004466C"/>
    <w:rsid w:val="000448CE"/>
    <w:rsid w:val="00044A78"/>
    <w:rsid w:val="00044A9E"/>
    <w:rsid w:val="00045940"/>
    <w:rsid w:val="00046215"/>
    <w:rsid w:val="000462B9"/>
    <w:rsid w:val="00046A18"/>
    <w:rsid w:val="00046B31"/>
    <w:rsid w:val="00047983"/>
    <w:rsid w:val="00047C21"/>
    <w:rsid w:val="00050997"/>
    <w:rsid w:val="000522F0"/>
    <w:rsid w:val="00052921"/>
    <w:rsid w:val="00052EC7"/>
    <w:rsid w:val="00053322"/>
    <w:rsid w:val="00054041"/>
    <w:rsid w:val="0005427D"/>
    <w:rsid w:val="0005482F"/>
    <w:rsid w:val="00054D48"/>
    <w:rsid w:val="00055923"/>
    <w:rsid w:val="0005596C"/>
    <w:rsid w:val="00055EAF"/>
    <w:rsid w:val="0005614D"/>
    <w:rsid w:val="00056431"/>
    <w:rsid w:val="00056C7E"/>
    <w:rsid w:val="000573D5"/>
    <w:rsid w:val="00057735"/>
    <w:rsid w:val="00057B62"/>
    <w:rsid w:val="00057FB5"/>
    <w:rsid w:val="0006090B"/>
    <w:rsid w:val="00060EAB"/>
    <w:rsid w:val="00060FA6"/>
    <w:rsid w:val="000612E1"/>
    <w:rsid w:val="0006163E"/>
    <w:rsid w:val="00061814"/>
    <w:rsid w:val="0006186F"/>
    <w:rsid w:val="000619F2"/>
    <w:rsid w:val="00061AAB"/>
    <w:rsid w:val="0006264F"/>
    <w:rsid w:val="00063425"/>
    <w:rsid w:val="00063A0F"/>
    <w:rsid w:val="0006404E"/>
    <w:rsid w:val="00064354"/>
    <w:rsid w:val="0006588A"/>
    <w:rsid w:val="00065931"/>
    <w:rsid w:val="00066D9F"/>
    <w:rsid w:val="00067989"/>
    <w:rsid w:val="00070175"/>
    <w:rsid w:val="00071378"/>
    <w:rsid w:val="000713CB"/>
    <w:rsid w:val="0007203D"/>
    <w:rsid w:val="00074AC0"/>
    <w:rsid w:val="00074BE6"/>
    <w:rsid w:val="00074C2E"/>
    <w:rsid w:val="00074DE3"/>
    <w:rsid w:val="0007549A"/>
    <w:rsid w:val="000758E3"/>
    <w:rsid w:val="000758EA"/>
    <w:rsid w:val="00076D2F"/>
    <w:rsid w:val="00077004"/>
    <w:rsid w:val="000778A7"/>
    <w:rsid w:val="000801CC"/>
    <w:rsid w:val="0008057B"/>
    <w:rsid w:val="000806F5"/>
    <w:rsid w:val="00080A4D"/>
    <w:rsid w:val="00081224"/>
    <w:rsid w:val="00082B2F"/>
    <w:rsid w:val="00083073"/>
    <w:rsid w:val="000832B9"/>
    <w:rsid w:val="00083EC4"/>
    <w:rsid w:val="000845B6"/>
    <w:rsid w:val="00084B83"/>
    <w:rsid w:val="0008525E"/>
    <w:rsid w:val="00085269"/>
    <w:rsid w:val="00085E75"/>
    <w:rsid w:val="00085ECA"/>
    <w:rsid w:val="00086069"/>
    <w:rsid w:val="000863E8"/>
    <w:rsid w:val="00086BD7"/>
    <w:rsid w:val="00086F2F"/>
    <w:rsid w:val="000873C0"/>
    <w:rsid w:val="00087E4D"/>
    <w:rsid w:val="000902F4"/>
    <w:rsid w:val="00090367"/>
    <w:rsid w:val="000911A1"/>
    <w:rsid w:val="000912C8"/>
    <w:rsid w:val="00091569"/>
    <w:rsid w:val="000915F7"/>
    <w:rsid w:val="000916BF"/>
    <w:rsid w:val="000919F1"/>
    <w:rsid w:val="00091B43"/>
    <w:rsid w:val="00091FE2"/>
    <w:rsid w:val="00092600"/>
    <w:rsid w:val="000926D2"/>
    <w:rsid w:val="0009285E"/>
    <w:rsid w:val="00092DE6"/>
    <w:rsid w:val="0009373D"/>
    <w:rsid w:val="000944C8"/>
    <w:rsid w:val="000945BD"/>
    <w:rsid w:val="00095783"/>
    <w:rsid w:val="00096044"/>
    <w:rsid w:val="00096409"/>
    <w:rsid w:val="000964E6"/>
    <w:rsid w:val="00096BA6"/>
    <w:rsid w:val="00096DD3"/>
    <w:rsid w:val="00096E07"/>
    <w:rsid w:val="00096E62"/>
    <w:rsid w:val="00097499"/>
    <w:rsid w:val="00097B9E"/>
    <w:rsid w:val="00097EFF"/>
    <w:rsid w:val="00097FDB"/>
    <w:rsid w:val="000A1746"/>
    <w:rsid w:val="000A1970"/>
    <w:rsid w:val="000A1CA6"/>
    <w:rsid w:val="000A2470"/>
    <w:rsid w:val="000A2C12"/>
    <w:rsid w:val="000A3052"/>
    <w:rsid w:val="000A3420"/>
    <w:rsid w:val="000A36C5"/>
    <w:rsid w:val="000A3735"/>
    <w:rsid w:val="000A3AEA"/>
    <w:rsid w:val="000A441B"/>
    <w:rsid w:val="000A4892"/>
    <w:rsid w:val="000A4978"/>
    <w:rsid w:val="000A51BB"/>
    <w:rsid w:val="000A734F"/>
    <w:rsid w:val="000A7EB2"/>
    <w:rsid w:val="000A7F32"/>
    <w:rsid w:val="000B13B8"/>
    <w:rsid w:val="000B1B56"/>
    <w:rsid w:val="000B1CDC"/>
    <w:rsid w:val="000B2030"/>
    <w:rsid w:val="000B2E01"/>
    <w:rsid w:val="000B3618"/>
    <w:rsid w:val="000B3B31"/>
    <w:rsid w:val="000B4281"/>
    <w:rsid w:val="000B4F4A"/>
    <w:rsid w:val="000B5050"/>
    <w:rsid w:val="000B5254"/>
    <w:rsid w:val="000B5264"/>
    <w:rsid w:val="000B5FB8"/>
    <w:rsid w:val="000B67D5"/>
    <w:rsid w:val="000B77F6"/>
    <w:rsid w:val="000B7C30"/>
    <w:rsid w:val="000B7CCA"/>
    <w:rsid w:val="000B7F87"/>
    <w:rsid w:val="000C00CF"/>
    <w:rsid w:val="000C0102"/>
    <w:rsid w:val="000C0300"/>
    <w:rsid w:val="000C088C"/>
    <w:rsid w:val="000C0D56"/>
    <w:rsid w:val="000C0EF4"/>
    <w:rsid w:val="000C0F33"/>
    <w:rsid w:val="000C19E9"/>
    <w:rsid w:val="000C2A12"/>
    <w:rsid w:val="000C2AB3"/>
    <w:rsid w:val="000C2CC2"/>
    <w:rsid w:val="000C326D"/>
    <w:rsid w:val="000C37E4"/>
    <w:rsid w:val="000C4120"/>
    <w:rsid w:val="000C4405"/>
    <w:rsid w:val="000C597F"/>
    <w:rsid w:val="000C5BBC"/>
    <w:rsid w:val="000C62E2"/>
    <w:rsid w:val="000C715D"/>
    <w:rsid w:val="000C7625"/>
    <w:rsid w:val="000C7F0A"/>
    <w:rsid w:val="000D051B"/>
    <w:rsid w:val="000D06BF"/>
    <w:rsid w:val="000D0758"/>
    <w:rsid w:val="000D07C6"/>
    <w:rsid w:val="000D0DB5"/>
    <w:rsid w:val="000D0E68"/>
    <w:rsid w:val="000D142C"/>
    <w:rsid w:val="000D16C1"/>
    <w:rsid w:val="000D1C99"/>
    <w:rsid w:val="000D2937"/>
    <w:rsid w:val="000D2970"/>
    <w:rsid w:val="000D2BF8"/>
    <w:rsid w:val="000D2E95"/>
    <w:rsid w:val="000D47A3"/>
    <w:rsid w:val="000D4C78"/>
    <w:rsid w:val="000D501B"/>
    <w:rsid w:val="000D53DF"/>
    <w:rsid w:val="000D562F"/>
    <w:rsid w:val="000D5E16"/>
    <w:rsid w:val="000D5F18"/>
    <w:rsid w:val="000D612D"/>
    <w:rsid w:val="000D64A6"/>
    <w:rsid w:val="000D64F7"/>
    <w:rsid w:val="000D6A2A"/>
    <w:rsid w:val="000D7895"/>
    <w:rsid w:val="000E05BA"/>
    <w:rsid w:val="000E1BE8"/>
    <w:rsid w:val="000E1E74"/>
    <w:rsid w:val="000E2014"/>
    <w:rsid w:val="000E2D09"/>
    <w:rsid w:val="000E3308"/>
    <w:rsid w:val="000E37AE"/>
    <w:rsid w:val="000E3ABD"/>
    <w:rsid w:val="000E4485"/>
    <w:rsid w:val="000E4C89"/>
    <w:rsid w:val="000E4D6D"/>
    <w:rsid w:val="000E65E1"/>
    <w:rsid w:val="000E660A"/>
    <w:rsid w:val="000E6A54"/>
    <w:rsid w:val="000E6E00"/>
    <w:rsid w:val="000E748D"/>
    <w:rsid w:val="000E7B8E"/>
    <w:rsid w:val="000F02ED"/>
    <w:rsid w:val="000F0BB8"/>
    <w:rsid w:val="000F134F"/>
    <w:rsid w:val="000F1518"/>
    <w:rsid w:val="000F1B0B"/>
    <w:rsid w:val="000F3BFE"/>
    <w:rsid w:val="000F49B9"/>
    <w:rsid w:val="000F53D7"/>
    <w:rsid w:val="000F54CA"/>
    <w:rsid w:val="000F558B"/>
    <w:rsid w:val="000F5E0A"/>
    <w:rsid w:val="000F6D77"/>
    <w:rsid w:val="000F70E9"/>
    <w:rsid w:val="000F731E"/>
    <w:rsid w:val="000F7C8A"/>
    <w:rsid w:val="000F7CA9"/>
    <w:rsid w:val="00100A8B"/>
    <w:rsid w:val="00101D40"/>
    <w:rsid w:val="00102428"/>
    <w:rsid w:val="00102744"/>
    <w:rsid w:val="0010290A"/>
    <w:rsid w:val="001029DC"/>
    <w:rsid w:val="00102BCE"/>
    <w:rsid w:val="00103466"/>
    <w:rsid w:val="00103893"/>
    <w:rsid w:val="00103AA5"/>
    <w:rsid w:val="00103BB7"/>
    <w:rsid w:val="00103DB7"/>
    <w:rsid w:val="00104875"/>
    <w:rsid w:val="0010559F"/>
    <w:rsid w:val="00105C05"/>
    <w:rsid w:val="00106065"/>
    <w:rsid w:val="0010612C"/>
    <w:rsid w:val="00106469"/>
    <w:rsid w:val="00106D7B"/>
    <w:rsid w:val="00107191"/>
    <w:rsid w:val="001077F0"/>
    <w:rsid w:val="00107E84"/>
    <w:rsid w:val="00111222"/>
    <w:rsid w:val="00111E5D"/>
    <w:rsid w:val="0011275F"/>
    <w:rsid w:val="001127F7"/>
    <w:rsid w:val="00112839"/>
    <w:rsid w:val="00112A9E"/>
    <w:rsid w:val="00112CBC"/>
    <w:rsid w:val="00112E07"/>
    <w:rsid w:val="00113240"/>
    <w:rsid w:val="00113360"/>
    <w:rsid w:val="0011364D"/>
    <w:rsid w:val="00113959"/>
    <w:rsid w:val="00113CFF"/>
    <w:rsid w:val="00113F5B"/>
    <w:rsid w:val="00114736"/>
    <w:rsid w:val="00114C48"/>
    <w:rsid w:val="001151D2"/>
    <w:rsid w:val="00115BA4"/>
    <w:rsid w:val="00115CED"/>
    <w:rsid w:val="001164D7"/>
    <w:rsid w:val="0011756C"/>
    <w:rsid w:val="00117B52"/>
    <w:rsid w:val="00117B7E"/>
    <w:rsid w:val="00117ED1"/>
    <w:rsid w:val="001200FC"/>
    <w:rsid w:val="00120294"/>
    <w:rsid w:val="0012029F"/>
    <w:rsid w:val="00120358"/>
    <w:rsid w:val="001205CA"/>
    <w:rsid w:val="00121B8F"/>
    <w:rsid w:val="00121E35"/>
    <w:rsid w:val="001223AB"/>
    <w:rsid w:val="001224F7"/>
    <w:rsid w:val="001225E7"/>
    <w:rsid w:val="001228C3"/>
    <w:rsid w:val="00122A17"/>
    <w:rsid w:val="001240BA"/>
    <w:rsid w:val="00124A91"/>
    <w:rsid w:val="00125108"/>
    <w:rsid w:val="00125B0F"/>
    <w:rsid w:val="00125B59"/>
    <w:rsid w:val="00125BD3"/>
    <w:rsid w:val="00125C06"/>
    <w:rsid w:val="00126238"/>
    <w:rsid w:val="00126A47"/>
    <w:rsid w:val="00126D16"/>
    <w:rsid w:val="00126FD7"/>
    <w:rsid w:val="0013038C"/>
    <w:rsid w:val="00130A31"/>
    <w:rsid w:val="00130A54"/>
    <w:rsid w:val="00130D26"/>
    <w:rsid w:val="001327BA"/>
    <w:rsid w:val="001328AD"/>
    <w:rsid w:val="00132E6B"/>
    <w:rsid w:val="00132F59"/>
    <w:rsid w:val="0013329B"/>
    <w:rsid w:val="00133329"/>
    <w:rsid w:val="00134B06"/>
    <w:rsid w:val="00134C23"/>
    <w:rsid w:val="00135778"/>
    <w:rsid w:val="00135A13"/>
    <w:rsid w:val="00135D64"/>
    <w:rsid w:val="00135E28"/>
    <w:rsid w:val="00136439"/>
    <w:rsid w:val="0013650B"/>
    <w:rsid w:val="0013675A"/>
    <w:rsid w:val="001373CD"/>
    <w:rsid w:val="0014030F"/>
    <w:rsid w:val="00140D7E"/>
    <w:rsid w:val="00140ED0"/>
    <w:rsid w:val="00141658"/>
    <w:rsid w:val="00141B30"/>
    <w:rsid w:val="00141CC5"/>
    <w:rsid w:val="00142497"/>
    <w:rsid w:val="00143497"/>
    <w:rsid w:val="0014410F"/>
    <w:rsid w:val="00144136"/>
    <w:rsid w:val="00144A67"/>
    <w:rsid w:val="00144C60"/>
    <w:rsid w:val="00144FB6"/>
    <w:rsid w:val="001450C8"/>
    <w:rsid w:val="00145454"/>
    <w:rsid w:val="001454BA"/>
    <w:rsid w:val="00146259"/>
    <w:rsid w:val="0014639C"/>
    <w:rsid w:val="00146716"/>
    <w:rsid w:val="00146FA2"/>
    <w:rsid w:val="001475AC"/>
    <w:rsid w:val="00147965"/>
    <w:rsid w:val="00150239"/>
    <w:rsid w:val="00150A8B"/>
    <w:rsid w:val="001513F9"/>
    <w:rsid w:val="00151539"/>
    <w:rsid w:val="001518E3"/>
    <w:rsid w:val="00151FC8"/>
    <w:rsid w:val="0015226B"/>
    <w:rsid w:val="001522EC"/>
    <w:rsid w:val="0015294A"/>
    <w:rsid w:val="0015345C"/>
    <w:rsid w:val="00153705"/>
    <w:rsid w:val="00154229"/>
    <w:rsid w:val="00154DF0"/>
    <w:rsid w:val="00154DF9"/>
    <w:rsid w:val="00154E33"/>
    <w:rsid w:val="001556A5"/>
    <w:rsid w:val="00156527"/>
    <w:rsid w:val="0015687F"/>
    <w:rsid w:val="00156C8C"/>
    <w:rsid w:val="00156E1B"/>
    <w:rsid w:val="0015716D"/>
    <w:rsid w:val="001573AE"/>
    <w:rsid w:val="00157B1D"/>
    <w:rsid w:val="00157DF1"/>
    <w:rsid w:val="00157E4A"/>
    <w:rsid w:val="001607C1"/>
    <w:rsid w:val="00160CB5"/>
    <w:rsid w:val="00160E93"/>
    <w:rsid w:val="00161D18"/>
    <w:rsid w:val="00161DCB"/>
    <w:rsid w:val="00161F04"/>
    <w:rsid w:val="00162404"/>
    <w:rsid w:val="00162539"/>
    <w:rsid w:val="001637A8"/>
    <w:rsid w:val="001638C8"/>
    <w:rsid w:val="00163A22"/>
    <w:rsid w:val="0016403E"/>
    <w:rsid w:val="00164626"/>
    <w:rsid w:val="00164FBB"/>
    <w:rsid w:val="00165593"/>
    <w:rsid w:val="00165A41"/>
    <w:rsid w:val="00165C33"/>
    <w:rsid w:val="00165E22"/>
    <w:rsid w:val="001666F0"/>
    <w:rsid w:val="001669D4"/>
    <w:rsid w:val="00166A1E"/>
    <w:rsid w:val="00167421"/>
    <w:rsid w:val="0016770D"/>
    <w:rsid w:val="001678F6"/>
    <w:rsid w:val="00167CF6"/>
    <w:rsid w:val="00167E25"/>
    <w:rsid w:val="00167E88"/>
    <w:rsid w:val="00167F2B"/>
    <w:rsid w:val="001704BA"/>
    <w:rsid w:val="00170BCA"/>
    <w:rsid w:val="0017149D"/>
    <w:rsid w:val="00171D85"/>
    <w:rsid w:val="00171E8E"/>
    <w:rsid w:val="0017260C"/>
    <w:rsid w:val="00172A68"/>
    <w:rsid w:val="00172F4B"/>
    <w:rsid w:val="00173D85"/>
    <w:rsid w:val="001743E9"/>
    <w:rsid w:val="0017508B"/>
    <w:rsid w:val="00175E63"/>
    <w:rsid w:val="00175FEB"/>
    <w:rsid w:val="001760C4"/>
    <w:rsid w:val="0017621D"/>
    <w:rsid w:val="001774B8"/>
    <w:rsid w:val="00177700"/>
    <w:rsid w:val="00180DD9"/>
    <w:rsid w:val="00181A6B"/>
    <w:rsid w:val="00181C12"/>
    <w:rsid w:val="00181CBF"/>
    <w:rsid w:val="00181F05"/>
    <w:rsid w:val="00181FD0"/>
    <w:rsid w:val="00182D55"/>
    <w:rsid w:val="00183BAE"/>
    <w:rsid w:val="00184026"/>
    <w:rsid w:val="00184073"/>
    <w:rsid w:val="00184350"/>
    <w:rsid w:val="00184510"/>
    <w:rsid w:val="001849DE"/>
    <w:rsid w:val="00184D12"/>
    <w:rsid w:val="00185258"/>
    <w:rsid w:val="0018585E"/>
    <w:rsid w:val="00186127"/>
    <w:rsid w:val="001865D3"/>
    <w:rsid w:val="001873A5"/>
    <w:rsid w:val="0018751C"/>
    <w:rsid w:val="0018787F"/>
    <w:rsid w:val="00187902"/>
    <w:rsid w:val="00187DB0"/>
    <w:rsid w:val="00187E8C"/>
    <w:rsid w:val="00187F4B"/>
    <w:rsid w:val="001900B5"/>
    <w:rsid w:val="00190A7F"/>
    <w:rsid w:val="00190AE9"/>
    <w:rsid w:val="00190B0A"/>
    <w:rsid w:val="001914D1"/>
    <w:rsid w:val="00191B3D"/>
    <w:rsid w:val="00191D32"/>
    <w:rsid w:val="00192A68"/>
    <w:rsid w:val="00193086"/>
    <w:rsid w:val="001930CF"/>
    <w:rsid w:val="00194424"/>
    <w:rsid w:val="00194BE8"/>
    <w:rsid w:val="001951ED"/>
    <w:rsid w:val="001952EB"/>
    <w:rsid w:val="00195695"/>
    <w:rsid w:val="00195E6E"/>
    <w:rsid w:val="00195F1D"/>
    <w:rsid w:val="00196405"/>
    <w:rsid w:val="00196DBA"/>
    <w:rsid w:val="0019774A"/>
    <w:rsid w:val="001A09A1"/>
    <w:rsid w:val="001A0CE9"/>
    <w:rsid w:val="001A16D0"/>
    <w:rsid w:val="001A17BB"/>
    <w:rsid w:val="001A1CB5"/>
    <w:rsid w:val="001A1CFC"/>
    <w:rsid w:val="001A1D32"/>
    <w:rsid w:val="001A1FEB"/>
    <w:rsid w:val="001A329E"/>
    <w:rsid w:val="001A34CD"/>
    <w:rsid w:val="001A4279"/>
    <w:rsid w:val="001A438C"/>
    <w:rsid w:val="001A4418"/>
    <w:rsid w:val="001A45AE"/>
    <w:rsid w:val="001A4642"/>
    <w:rsid w:val="001A4DC4"/>
    <w:rsid w:val="001A569D"/>
    <w:rsid w:val="001A6877"/>
    <w:rsid w:val="001A74C9"/>
    <w:rsid w:val="001A75B1"/>
    <w:rsid w:val="001B0251"/>
    <w:rsid w:val="001B06D4"/>
    <w:rsid w:val="001B0DD0"/>
    <w:rsid w:val="001B1A94"/>
    <w:rsid w:val="001B1BF0"/>
    <w:rsid w:val="001B1C4F"/>
    <w:rsid w:val="001B228F"/>
    <w:rsid w:val="001B3381"/>
    <w:rsid w:val="001B50ED"/>
    <w:rsid w:val="001B5891"/>
    <w:rsid w:val="001B58DA"/>
    <w:rsid w:val="001B59B5"/>
    <w:rsid w:val="001B5DC1"/>
    <w:rsid w:val="001B63B2"/>
    <w:rsid w:val="001B6455"/>
    <w:rsid w:val="001B6D01"/>
    <w:rsid w:val="001B7150"/>
    <w:rsid w:val="001B77A4"/>
    <w:rsid w:val="001B7E54"/>
    <w:rsid w:val="001C1597"/>
    <w:rsid w:val="001C1767"/>
    <w:rsid w:val="001C1856"/>
    <w:rsid w:val="001C26B9"/>
    <w:rsid w:val="001C2A86"/>
    <w:rsid w:val="001C3545"/>
    <w:rsid w:val="001C35E7"/>
    <w:rsid w:val="001C39EF"/>
    <w:rsid w:val="001C3F76"/>
    <w:rsid w:val="001C4369"/>
    <w:rsid w:val="001C48A5"/>
    <w:rsid w:val="001C50D6"/>
    <w:rsid w:val="001C5115"/>
    <w:rsid w:val="001C5274"/>
    <w:rsid w:val="001C5FC6"/>
    <w:rsid w:val="001C6106"/>
    <w:rsid w:val="001C6771"/>
    <w:rsid w:val="001C6875"/>
    <w:rsid w:val="001C68FF"/>
    <w:rsid w:val="001C716F"/>
    <w:rsid w:val="001C7424"/>
    <w:rsid w:val="001C751E"/>
    <w:rsid w:val="001C75D2"/>
    <w:rsid w:val="001C78D8"/>
    <w:rsid w:val="001C7A38"/>
    <w:rsid w:val="001C7DE3"/>
    <w:rsid w:val="001D0C3C"/>
    <w:rsid w:val="001D132B"/>
    <w:rsid w:val="001D143F"/>
    <w:rsid w:val="001D2350"/>
    <w:rsid w:val="001D24CA"/>
    <w:rsid w:val="001D2FFE"/>
    <w:rsid w:val="001D3878"/>
    <w:rsid w:val="001D4B8E"/>
    <w:rsid w:val="001D54BD"/>
    <w:rsid w:val="001D5A1C"/>
    <w:rsid w:val="001D5DAE"/>
    <w:rsid w:val="001D65FD"/>
    <w:rsid w:val="001D69B7"/>
    <w:rsid w:val="001D744E"/>
    <w:rsid w:val="001E0132"/>
    <w:rsid w:val="001E0407"/>
    <w:rsid w:val="001E05D8"/>
    <w:rsid w:val="001E0A43"/>
    <w:rsid w:val="001E0DD9"/>
    <w:rsid w:val="001E184C"/>
    <w:rsid w:val="001E197F"/>
    <w:rsid w:val="001E1EB5"/>
    <w:rsid w:val="001E1F3A"/>
    <w:rsid w:val="001E2715"/>
    <w:rsid w:val="001E2FEF"/>
    <w:rsid w:val="001E3391"/>
    <w:rsid w:val="001E39BA"/>
    <w:rsid w:val="001E3AE5"/>
    <w:rsid w:val="001E3CD3"/>
    <w:rsid w:val="001E43F5"/>
    <w:rsid w:val="001E503F"/>
    <w:rsid w:val="001E5EA0"/>
    <w:rsid w:val="001E6A62"/>
    <w:rsid w:val="001E6BFD"/>
    <w:rsid w:val="001E705B"/>
    <w:rsid w:val="001E710C"/>
    <w:rsid w:val="001E7E86"/>
    <w:rsid w:val="001F0252"/>
    <w:rsid w:val="001F041A"/>
    <w:rsid w:val="001F0C4F"/>
    <w:rsid w:val="001F13F1"/>
    <w:rsid w:val="001F1C22"/>
    <w:rsid w:val="001F2026"/>
    <w:rsid w:val="001F2385"/>
    <w:rsid w:val="001F2D85"/>
    <w:rsid w:val="001F346F"/>
    <w:rsid w:val="001F3A55"/>
    <w:rsid w:val="001F4091"/>
    <w:rsid w:val="001F40A8"/>
    <w:rsid w:val="001F42F3"/>
    <w:rsid w:val="001F4427"/>
    <w:rsid w:val="001F4CC8"/>
    <w:rsid w:val="001F50C3"/>
    <w:rsid w:val="001F60DE"/>
    <w:rsid w:val="001F630F"/>
    <w:rsid w:val="001F65DE"/>
    <w:rsid w:val="001F7007"/>
    <w:rsid w:val="001F7406"/>
    <w:rsid w:val="001F7920"/>
    <w:rsid w:val="001F7DD0"/>
    <w:rsid w:val="00200CC1"/>
    <w:rsid w:val="00200DF6"/>
    <w:rsid w:val="0020195D"/>
    <w:rsid w:val="00201A3A"/>
    <w:rsid w:val="00201BAE"/>
    <w:rsid w:val="00201DE7"/>
    <w:rsid w:val="00201E72"/>
    <w:rsid w:val="0020287D"/>
    <w:rsid w:val="00202ED3"/>
    <w:rsid w:val="00203997"/>
    <w:rsid w:val="0020408F"/>
    <w:rsid w:val="002040ED"/>
    <w:rsid w:val="0020424B"/>
    <w:rsid w:val="00205669"/>
    <w:rsid w:val="00205DC1"/>
    <w:rsid w:val="00205EEC"/>
    <w:rsid w:val="00205F56"/>
    <w:rsid w:val="002066E3"/>
    <w:rsid w:val="00207102"/>
    <w:rsid w:val="0021105C"/>
    <w:rsid w:val="00211137"/>
    <w:rsid w:val="00211197"/>
    <w:rsid w:val="002129B4"/>
    <w:rsid w:val="00212CD4"/>
    <w:rsid w:val="00213F98"/>
    <w:rsid w:val="00213FAC"/>
    <w:rsid w:val="002143A6"/>
    <w:rsid w:val="002149D8"/>
    <w:rsid w:val="00214D57"/>
    <w:rsid w:val="00214F5E"/>
    <w:rsid w:val="00215D24"/>
    <w:rsid w:val="002160B3"/>
    <w:rsid w:val="00216163"/>
    <w:rsid w:val="00216CA7"/>
    <w:rsid w:val="00217692"/>
    <w:rsid w:val="00217CBD"/>
    <w:rsid w:val="0022073B"/>
    <w:rsid w:val="00220DB4"/>
    <w:rsid w:val="0022135A"/>
    <w:rsid w:val="002213E4"/>
    <w:rsid w:val="002220E1"/>
    <w:rsid w:val="0022253A"/>
    <w:rsid w:val="002227EA"/>
    <w:rsid w:val="00222F42"/>
    <w:rsid w:val="0022302F"/>
    <w:rsid w:val="00223689"/>
    <w:rsid w:val="002237D1"/>
    <w:rsid w:val="0022397E"/>
    <w:rsid w:val="0022452E"/>
    <w:rsid w:val="00224B36"/>
    <w:rsid w:val="002253E7"/>
    <w:rsid w:val="002256F7"/>
    <w:rsid w:val="00225FEA"/>
    <w:rsid w:val="00226944"/>
    <w:rsid w:val="00226A4C"/>
    <w:rsid w:val="00226F52"/>
    <w:rsid w:val="002272E1"/>
    <w:rsid w:val="002275EA"/>
    <w:rsid w:val="00227C53"/>
    <w:rsid w:val="00230448"/>
    <w:rsid w:val="0023054A"/>
    <w:rsid w:val="00230AEB"/>
    <w:rsid w:val="00231626"/>
    <w:rsid w:val="00231AD2"/>
    <w:rsid w:val="00231B2C"/>
    <w:rsid w:val="00231B5D"/>
    <w:rsid w:val="00232210"/>
    <w:rsid w:val="00232617"/>
    <w:rsid w:val="0023471F"/>
    <w:rsid w:val="00234A39"/>
    <w:rsid w:val="00234B19"/>
    <w:rsid w:val="00234BAB"/>
    <w:rsid w:val="00234D74"/>
    <w:rsid w:val="00234E06"/>
    <w:rsid w:val="00235C9D"/>
    <w:rsid w:val="00236091"/>
    <w:rsid w:val="0023623E"/>
    <w:rsid w:val="0023625C"/>
    <w:rsid w:val="0023638E"/>
    <w:rsid w:val="00236DC4"/>
    <w:rsid w:val="002374E5"/>
    <w:rsid w:val="002377F7"/>
    <w:rsid w:val="0024021B"/>
    <w:rsid w:val="00240944"/>
    <w:rsid w:val="00241C04"/>
    <w:rsid w:val="00241E04"/>
    <w:rsid w:val="00243070"/>
    <w:rsid w:val="002435AD"/>
    <w:rsid w:val="002439B7"/>
    <w:rsid w:val="00243BFC"/>
    <w:rsid w:val="00243E15"/>
    <w:rsid w:val="00244270"/>
    <w:rsid w:val="00244346"/>
    <w:rsid w:val="002444FC"/>
    <w:rsid w:val="00244D87"/>
    <w:rsid w:val="002457A4"/>
    <w:rsid w:val="00245EC6"/>
    <w:rsid w:val="00246D8F"/>
    <w:rsid w:val="00246E0A"/>
    <w:rsid w:val="00246FA0"/>
    <w:rsid w:val="002476D5"/>
    <w:rsid w:val="00247751"/>
    <w:rsid w:val="0025038C"/>
    <w:rsid w:val="002507A7"/>
    <w:rsid w:val="00250BBE"/>
    <w:rsid w:val="00250D6F"/>
    <w:rsid w:val="00250ECA"/>
    <w:rsid w:val="002516BB"/>
    <w:rsid w:val="00253B3E"/>
    <w:rsid w:val="0025690A"/>
    <w:rsid w:val="00256FB6"/>
    <w:rsid w:val="002576D6"/>
    <w:rsid w:val="00257AD5"/>
    <w:rsid w:val="00257C37"/>
    <w:rsid w:val="00261BA9"/>
    <w:rsid w:val="00261C01"/>
    <w:rsid w:val="00261C98"/>
    <w:rsid w:val="00262041"/>
    <w:rsid w:val="002621D7"/>
    <w:rsid w:val="00262620"/>
    <w:rsid w:val="00262BD9"/>
    <w:rsid w:val="00263398"/>
    <w:rsid w:val="002635E6"/>
    <w:rsid w:val="0026376D"/>
    <w:rsid w:val="0026383A"/>
    <w:rsid w:val="002647E5"/>
    <w:rsid w:val="00264C23"/>
    <w:rsid w:val="002654BB"/>
    <w:rsid w:val="002656E0"/>
    <w:rsid w:val="00266501"/>
    <w:rsid w:val="002668BB"/>
    <w:rsid w:val="00266EA5"/>
    <w:rsid w:val="00267269"/>
    <w:rsid w:val="0027016D"/>
    <w:rsid w:val="0027072C"/>
    <w:rsid w:val="00271098"/>
    <w:rsid w:val="002713CA"/>
    <w:rsid w:val="002717A5"/>
    <w:rsid w:val="0027226F"/>
    <w:rsid w:val="002724C8"/>
    <w:rsid w:val="00272BAA"/>
    <w:rsid w:val="00272BEB"/>
    <w:rsid w:val="0027392E"/>
    <w:rsid w:val="00273E6D"/>
    <w:rsid w:val="00274090"/>
    <w:rsid w:val="002741A6"/>
    <w:rsid w:val="00274430"/>
    <w:rsid w:val="00274965"/>
    <w:rsid w:val="00274D44"/>
    <w:rsid w:val="00274D71"/>
    <w:rsid w:val="002752E5"/>
    <w:rsid w:val="002755BF"/>
    <w:rsid w:val="0027590C"/>
    <w:rsid w:val="00275ADE"/>
    <w:rsid w:val="002760F5"/>
    <w:rsid w:val="002761F7"/>
    <w:rsid w:val="00276360"/>
    <w:rsid w:val="002763D1"/>
    <w:rsid w:val="00276584"/>
    <w:rsid w:val="002770B6"/>
    <w:rsid w:val="002773C2"/>
    <w:rsid w:val="00277933"/>
    <w:rsid w:val="00280200"/>
    <w:rsid w:val="00280ACB"/>
    <w:rsid w:val="0028124E"/>
    <w:rsid w:val="002820C7"/>
    <w:rsid w:val="00282161"/>
    <w:rsid w:val="00283A4F"/>
    <w:rsid w:val="00283B60"/>
    <w:rsid w:val="00283E10"/>
    <w:rsid w:val="002843AF"/>
    <w:rsid w:val="00285024"/>
    <w:rsid w:val="002852D0"/>
    <w:rsid w:val="00286D9F"/>
    <w:rsid w:val="00286E1E"/>
    <w:rsid w:val="00286E21"/>
    <w:rsid w:val="00287008"/>
    <w:rsid w:val="002871B6"/>
    <w:rsid w:val="0028759A"/>
    <w:rsid w:val="002905F6"/>
    <w:rsid w:val="0029088F"/>
    <w:rsid w:val="00290909"/>
    <w:rsid w:val="002912EA"/>
    <w:rsid w:val="002919DB"/>
    <w:rsid w:val="00291AD9"/>
    <w:rsid w:val="00291D53"/>
    <w:rsid w:val="0029234E"/>
    <w:rsid w:val="0029286B"/>
    <w:rsid w:val="00292BD0"/>
    <w:rsid w:val="0029367A"/>
    <w:rsid w:val="00293D3B"/>
    <w:rsid w:val="00293D4A"/>
    <w:rsid w:val="0029403E"/>
    <w:rsid w:val="00294356"/>
    <w:rsid w:val="00294C19"/>
    <w:rsid w:val="00294C91"/>
    <w:rsid w:val="0029575E"/>
    <w:rsid w:val="0029585A"/>
    <w:rsid w:val="0029589B"/>
    <w:rsid w:val="00295FCC"/>
    <w:rsid w:val="00296402"/>
    <w:rsid w:val="00297034"/>
    <w:rsid w:val="002A02A8"/>
    <w:rsid w:val="002A0DDB"/>
    <w:rsid w:val="002A15DE"/>
    <w:rsid w:val="002A1862"/>
    <w:rsid w:val="002A1B1D"/>
    <w:rsid w:val="002A1E60"/>
    <w:rsid w:val="002A2582"/>
    <w:rsid w:val="002A2F32"/>
    <w:rsid w:val="002A3C91"/>
    <w:rsid w:val="002A41EF"/>
    <w:rsid w:val="002A4293"/>
    <w:rsid w:val="002A443F"/>
    <w:rsid w:val="002A55D7"/>
    <w:rsid w:val="002A59BF"/>
    <w:rsid w:val="002A5A96"/>
    <w:rsid w:val="002A5FBE"/>
    <w:rsid w:val="002A6975"/>
    <w:rsid w:val="002A69DF"/>
    <w:rsid w:val="002A77D1"/>
    <w:rsid w:val="002A7A65"/>
    <w:rsid w:val="002A7BF0"/>
    <w:rsid w:val="002A7DD0"/>
    <w:rsid w:val="002B0100"/>
    <w:rsid w:val="002B04ED"/>
    <w:rsid w:val="002B0643"/>
    <w:rsid w:val="002B0AE1"/>
    <w:rsid w:val="002B0FE0"/>
    <w:rsid w:val="002B13C1"/>
    <w:rsid w:val="002B1691"/>
    <w:rsid w:val="002B1962"/>
    <w:rsid w:val="002B1BD3"/>
    <w:rsid w:val="002B1FC3"/>
    <w:rsid w:val="002B2A89"/>
    <w:rsid w:val="002B2C39"/>
    <w:rsid w:val="002B2C6B"/>
    <w:rsid w:val="002B30C2"/>
    <w:rsid w:val="002B34D3"/>
    <w:rsid w:val="002B3740"/>
    <w:rsid w:val="002B383D"/>
    <w:rsid w:val="002B3A09"/>
    <w:rsid w:val="002B3C28"/>
    <w:rsid w:val="002B3D94"/>
    <w:rsid w:val="002B4B83"/>
    <w:rsid w:val="002B4C34"/>
    <w:rsid w:val="002B500A"/>
    <w:rsid w:val="002B566A"/>
    <w:rsid w:val="002B6138"/>
    <w:rsid w:val="002B6977"/>
    <w:rsid w:val="002B69F2"/>
    <w:rsid w:val="002B6E4D"/>
    <w:rsid w:val="002B7240"/>
    <w:rsid w:val="002B72A1"/>
    <w:rsid w:val="002C0460"/>
    <w:rsid w:val="002C0E8F"/>
    <w:rsid w:val="002C113C"/>
    <w:rsid w:val="002C1748"/>
    <w:rsid w:val="002C26C4"/>
    <w:rsid w:val="002C3198"/>
    <w:rsid w:val="002C3DDE"/>
    <w:rsid w:val="002C41EB"/>
    <w:rsid w:val="002C60B1"/>
    <w:rsid w:val="002D0A91"/>
    <w:rsid w:val="002D1654"/>
    <w:rsid w:val="002D1A06"/>
    <w:rsid w:val="002D1AF2"/>
    <w:rsid w:val="002D1EB8"/>
    <w:rsid w:val="002D3BFB"/>
    <w:rsid w:val="002D3EB4"/>
    <w:rsid w:val="002D43DC"/>
    <w:rsid w:val="002D49DE"/>
    <w:rsid w:val="002D506A"/>
    <w:rsid w:val="002D5189"/>
    <w:rsid w:val="002D5FCD"/>
    <w:rsid w:val="002D6955"/>
    <w:rsid w:val="002D78CC"/>
    <w:rsid w:val="002E0713"/>
    <w:rsid w:val="002E1584"/>
    <w:rsid w:val="002E1803"/>
    <w:rsid w:val="002E1B4D"/>
    <w:rsid w:val="002E1DAC"/>
    <w:rsid w:val="002E2145"/>
    <w:rsid w:val="002E231D"/>
    <w:rsid w:val="002E280D"/>
    <w:rsid w:val="002E2BDF"/>
    <w:rsid w:val="002E313C"/>
    <w:rsid w:val="002E3444"/>
    <w:rsid w:val="002E3873"/>
    <w:rsid w:val="002E3B8F"/>
    <w:rsid w:val="002E3C4D"/>
    <w:rsid w:val="002E4015"/>
    <w:rsid w:val="002E62C9"/>
    <w:rsid w:val="002E6CE1"/>
    <w:rsid w:val="002E7303"/>
    <w:rsid w:val="002E7490"/>
    <w:rsid w:val="002E7799"/>
    <w:rsid w:val="002F12C5"/>
    <w:rsid w:val="002F15F0"/>
    <w:rsid w:val="002F230B"/>
    <w:rsid w:val="002F2754"/>
    <w:rsid w:val="002F2DA8"/>
    <w:rsid w:val="002F2DCB"/>
    <w:rsid w:val="002F3320"/>
    <w:rsid w:val="002F3683"/>
    <w:rsid w:val="002F392B"/>
    <w:rsid w:val="002F39DE"/>
    <w:rsid w:val="002F3B3B"/>
    <w:rsid w:val="002F4021"/>
    <w:rsid w:val="002F4263"/>
    <w:rsid w:val="002F500A"/>
    <w:rsid w:val="002F5972"/>
    <w:rsid w:val="002F599C"/>
    <w:rsid w:val="002F66B9"/>
    <w:rsid w:val="002F69E3"/>
    <w:rsid w:val="002F7684"/>
    <w:rsid w:val="002F7907"/>
    <w:rsid w:val="002F7D3D"/>
    <w:rsid w:val="00300524"/>
    <w:rsid w:val="0030052F"/>
    <w:rsid w:val="0030060F"/>
    <w:rsid w:val="00300A17"/>
    <w:rsid w:val="00300BCE"/>
    <w:rsid w:val="00300F0D"/>
    <w:rsid w:val="00301CA8"/>
    <w:rsid w:val="00302616"/>
    <w:rsid w:val="0030294C"/>
    <w:rsid w:val="00302A59"/>
    <w:rsid w:val="00303961"/>
    <w:rsid w:val="00303A73"/>
    <w:rsid w:val="00303D48"/>
    <w:rsid w:val="00303E78"/>
    <w:rsid w:val="003040DC"/>
    <w:rsid w:val="0030444C"/>
    <w:rsid w:val="00304495"/>
    <w:rsid w:val="003047D9"/>
    <w:rsid w:val="00304956"/>
    <w:rsid w:val="00304B5A"/>
    <w:rsid w:val="00305219"/>
    <w:rsid w:val="00305992"/>
    <w:rsid w:val="00305C46"/>
    <w:rsid w:val="00305C78"/>
    <w:rsid w:val="0030663A"/>
    <w:rsid w:val="0030694F"/>
    <w:rsid w:val="0031035B"/>
    <w:rsid w:val="00310368"/>
    <w:rsid w:val="003108D6"/>
    <w:rsid w:val="00310F5B"/>
    <w:rsid w:val="00311537"/>
    <w:rsid w:val="00311889"/>
    <w:rsid w:val="00312D1E"/>
    <w:rsid w:val="0031371E"/>
    <w:rsid w:val="00314C69"/>
    <w:rsid w:val="00315725"/>
    <w:rsid w:val="0031596D"/>
    <w:rsid w:val="00315EB4"/>
    <w:rsid w:val="003160C7"/>
    <w:rsid w:val="0031613D"/>
    <w:rsid w:val="003161B7"/>
    <w:rsid w:val="0031629C"/>
    <w:rsid w:val="003165C2"/>
    <w:rsid w:val="003166EC"/>
    <w:rsid w:val="00316BBB"/>
    <w:rsid w:val="003174AC"/>
    <w:rsid w:val="0031765A"/>
    <w:rsid w:val="00317A39"/>
    <w:rsid w:val="00317B0A"/>
    <w:rsid w:val="00320759"/>
    <w:rsid w:val="00320D3D"/>
    <w:rsid w:val="00320FBE"/>
    <w:rsid w:val="00321A27"/>
    <w:rsid w:val="00321ECA"/>
    <w:rsid w:val="003220EB"/>
    <w:rsid w:val="003224BD"/>
    <w:rsid w:val="00322BD1"/>
    <w:rsid w:val="00322D5F"/>
    <w:rsid w:val="00322FA4"/>
    <w:rsid w:val="0032324F"/>
    <w:rsid w:val="00323DE5"/>
    <w:rsid w:val="00323EFF"/>
    <w:rsid w:val="00324227"/>
    <w:rsid w:val="003250DF"/>
    <w:rsid w:val="00325766"/>
    <w:rsid w:val="00325877"/>
    <w:rsid w:val="00326179"/>
    <w:rsid w:val="003268BA"/>
    <w:rsid w:val="00326B9A"/>
    <w:rsid w:val="00326BAF"/>
    <w:rsid w:val="003270F1"/>
    <w:rsid w:val="00330622"/>
    <w:rsid w:val="00330895"/>
    <w:rsid w:val="00331A07"/>
    <w:rsid w:val="003325F4"/>
    <w:rsid w:val="003328CD"/>
    <w:rsid w:val="003329D3"/>
    <w:rsid w:val="00332A33"/>
    <w:rsid w:val="00332D51"/>
    <w:rsid w:val="003338AD"/>
    <w:rsid w:val="00333D63"/>
    <w:rsid w:val="00334615"/>
    <w:rsid w:val="00334EFF"/>
    <w:rsid w:val="0033594F"/>
    <w:rsid w:val="003361AE"/>
    <w:rsid w:val="003361FF"/>
    <w:rsid w:val="00336785"/>
    <w:rsid w:val="0033698A"/>
    <w:rsid w:val="00337016"/>
    <w:rsid w:val="00337177"/>
    <w:rsid w:val="00337395"/>
    <w:rsid w:val="003376EC"/>
    <w:rsid w:val="00337BEC"/>
    <w:rsid w:val="0034082F"/>
    <w:rsid w:val="00340CA1"/>
    <w:rsid w:val="00340DF0"/>
    <w:rsid w:val="0034110E"/>
    <w:rsid w:val="003416EB"/>
    <w:rsid w:val="003419AC"/>
    <w:rsid w:val="00341C9D"/>
    <w:rsid w:val="0034478D"/>
    <w:rsid w:val="003448AB"/>
    <w:rsid w:val="00344932"/>
    <w:rsid w:val="00344986"/>
    <w:rsid w:val="00345234"/>
    <w:rsid w:val="00345C96"/>
    <w:rsid w:val="00346771"/>
    <w:rsid w:val="00346F9E"/>
    <w:rsid w:val="00347021"/>
    <w:rsid w:val="003473D1"/>
    <w:rsid w:val="00350485"/>
    <w:rsid w:val="0035154A"/>
    <w:rsid w:val="00351AB2"/>
    <w:rsid w:val="00353544"/>
    <w:rsid w:val="0035389E"/>
    <w:rsid w:val="0035532E"/>
    <w:rsid w:val="0035574A"/>
    <w:rsid w:val="00355AE7"/>
    <w:rsid w:val="00355C14"/>
    <w:rsid w:val="00355E1A"/>
    <w:rsid w:val="00356063"/>
    <w:rsid w:val="0035661F"/>
    <w:rsid w:val="003568B7"/>
    <w:rsid w:val="00356EB6"/>
    <w:rsid w:val="00357267"/>
    <w:rsid w:val="0035772B"/>
    <w:rsid w:val="0036079A"/>
    <w:rsid w:val="00360BF4"/>
    <w:rsid w:val="00360D47"/>
    <w:rsid w:val="00360DDF"/>
    <w:rsid w:val="00361053"/>
    <w:rsid w:val="0036217B"/>
    <w:rsid w:val="0036232B"/>
    <w:rsid w:val="00362765"/>
    <w:rsid w:val="0036295C"/>
    <w:rsid w:val="00362AE5"/>
    <w:rsid w:val="00362EB1"/>
    <w:rsid w:val="0036317B"/>
    <w:rsid w:val="0036345D"/>
    <w:rsid w:val="00363660"/>
    <w:rsid w:val="00363BC2"/>
    <w:rsid w:val="003644C7"/>
    <w:rsid w:val="003647D5"/>
    <w:rsid w:val="00364AD8"/>
    <w:rsid w:val="00364D3E"/>
    <w:rsid w:val="0036578C"/>
    <w:rsid w:val="0036607D"/>
    <w:rsid w:val="00366474"/>
    <w:rsid w:val="00366A84"/>
    <w:rsid w:val="00366BB9"/>
    <w:rsid w:val="003677FF"/>
    <w:rsid w:val="003678D8"/>
    <w:rsid w:val="00371371"/>
    <w:rsid w:val="00371653"/>
    <w:rsid w:val="003716A8"/>
    <w:rsid w:val="003723C3"/>
    <w:rsid w:val="00372BE5"/>
    <w:rsid w:val="00373165"/>
    <w:rsid w:val="003735B2"/>
    <w:rsid w:val="00373997"/>
    <w:rsid w:val="003742FE"/>
    <w:rsid w:val="003743D1"/>
    <w:rsid w:val="003748DA"/>
    <w:rsid w:val="00374D51"/>
    <w:rsid w:val="003754E1"/>
    <w:rsid w:val="00375AD6"/>
    <w:rsid w:val="00376092"/>
    <w:rsid w:val="00376EFF"/>
    <w:rsid w:val="00377676"/>
    <w:rsid w:val="00380384"/>
    <w:rsid w:val="003806EB"/>
    <w:rsid w:val="00380DA1"/>
    <w:rsid w:val="00381DD8"/>
    <w:rsid w:val="00382A3D"/>
    <w:rsid w:val="00382DB2"/>
    <w:rsid w:val="0038346B"/>
    <w:rsid w:val="00383934"/>
    <w:rsid w:val="00383CD8"/>
    <w:rsid w:val="00384118"/>
    <w:rsid w:val="003853EF"/>
    <w:rsid w:val="00385561"/>
    <w:rsid w:val="00386147"/>
    <w:rsid w:val="003876F7"/>
    <w:rsid w:val="0039097D"/>
    <w:rsid w:val="00390B7F"/>
    <w:rsid w:val="00390FDB"/>
    <w:rsid w:val="00391279"/>
    <w:rsid w:val="00391BE5"/>
    <w:rsid w:val="003922B4"/>
    <w:rsid w:val="003925E9"/>
    <w:rsid w:val="003927B9"/>
    <w:rsid w:val="00392F8E"/>
    <w:rsid w:val="00393268"/>
    <w:rsid w:val="00393A5A"/>
    <w:rsid w:val="0039446A"/>
    <w:rsid w:val="003944EE"/>
    <w:rsid w:val="0039520E"/>
    <w:rsid w:val="00395704"/>
    <w:rsid w:val="00395AA8"/>
    <w:rsid w:val="003961F0"/>
    <w:rsid w:val="0039654C"/>
    <w:rsid w:val="0039657A"/>
    <w:rsid w:val="00396BB9"/>
    <w:rsid w:val="003970C5"/>
    <w:rsid w:val="0039746E"/>
    <w:rsid w:val="00397FE5"/>
    <w:rsid w:val="003A0113"/>
    <w:rsid w:val="003A05C8"/>
    <w:rsid w:val="003A118B"/>
    <w:rsid w:val="003A1416"/>
    <w:rsid w:val="003A27BA"/>
    <w:rsid w:val="003A2F05"/>
    <w:rsid w:val="003A30FF"/>
    <w:rsid w:val="003A32B8"/>
    <w:rsid w:val="003A3466"/>
    <w:rsid w:val="003A3AEB"/>
    <w:rsid w:val="003A3FAD"/>
    <w:rsid w:val="003A422D"/>
    <w:rsid w:val="003A455C"/>
    <w:rsid w:val="003A46F5"/>
    <w:rsid w:val="003A491F"/>
    <w:rsid w:val="003A4D3E"/>
    <w:rsid w:val="003A5313"/>
    <w:rsid w:val="003A5677"/>
    <w:rsid w:val="003A5988"/>
    <w:rsid w:val="003A59D5"/>
    <w:rsid w:val="003A5BED"/>
    <w:rsid w:val="003A5D04"/>
    <w:rsid w:val="003A6A3E"/>
    <w:rsid w:val="003A7605"/>
    <w:rsid w:val="003A7C4B"/>
    <w:rsid w:val="003A7ED9"/>
    <w:rsid w:val="003B0142"/>
    <w:rsid w:val="003B0182"/>
    <w:rsid w:val="003B030B"/>
    <w:rsid w:val="003B09D9"/>
    <w:rsid w:val="003B0A98"/>
    <w:rsid w:val="003B0B81"/>
    <w:rsid w:val="003B0C89"/>
    <w:rsid w:val="003B0E70"/>
    <w:rsid w:val="003B0EA5"/>
    <w:rsid w:val="003B1588"/>
    <w:rsid w:val="003B1A8B"/>
    <w:rsid w:val="003B2F1A"/>
    <w:rsid w:val="003B317B"/>
    <w:rsid w:val="003B37D1"/>
    <w:rsid w:val="003B3A34"/>
    <w:rsid w:val="003B4576"/>
    <w:rsid w:val="003B47B5"/>
    <w:rsid w:val="003B487C"/>
    <w:rsid w:val="003B55D2"/>
    <w:rsid w:val="003B6A74"/>
    <w:rsid w:val="003B7098"/>
    <w:rsid w:val="003B74C3"/>
    <w:rsid w:val="003B7675"/>
    <w:rsid w:val="003B7742"/>
    <w:rsid w:val="003B79A7"/>
    <w:rsid w:val="003B7BAD"/>
    <w:rsid w:val="003B7F59"/>
    <w:rsid w:val="003C0D1A"/>
    <w:rsid w:val="003C0F40"/>
    <w:rsid w:val="003C16AF"/>
    <w:rsid w:val="003C176E"/>
    <w:rsid w:val="003C1806"/>
    <w:rsid w:val="003C1A75"/>
    <w:rsid w:val="003C2EFB"/>
    <w:rsid w:val="003C424F"/>
    <w:rsid w:val="003C46F4"/>
    <w:rsid w:val="003C5182"/>
    <w:rsid w:val="003C53A6"/>
    <w:rsid w:val="003C58C6"/>
    <w:rsid w:val="003C58E5"/>
    <w:rsid w:val="003C606D"/>
    <w:rsid w:val="003C66BB"/>
    <w:rsid w:val="003C6DCF"/>
    <w:rsid w:val="003C70EB"/>
    <w:rsid w:val="003C778F"/>
    <w:rsid w:val="003C7A2A"/>
    <w:rsid w:val="003C7C47"/>
    <w:rsid w:val="003C7D0F"/>
    <w:rsid w:val="003D14D4"/>
    <w:rsid w:val="003D1B33"/>
    <w:rsid w:val="003D1D02"/>
    <w:rsid w:val="003D1D83"/>
    <w:rsid w:val="003D1E4E"/>
    <w:rsid w:val="003D201B"/>
    <w:rsid w:val="003D20ED"/>
    <w:rsid w:val="003D29DF"/>
    <w:rsid w:val="003D309A"/>
    <w:rsid w:val="003D3281"/>
    <w:rsid w:val="003D3370"/>
    <w:rsid w:val="003D36F9"/>
    <w:rsid w:val="003D39E2"/>
    <w:rsid w:val="003D415B"/>
    <w:rsid w:val="003D476A"/>
    <w:rsid w:val="003D4D6C"/>
    <w:rsid w:val="003D4EB0"/>
    <w:rsid w:val="003D4ED9"/>
    <w:rsid w:val="003D5559"/>
    <w:rsid w:val="003D559C"/>
    <w:rsid w:val="003D5ECE"/>
    <w:rsid w:val="003D6C5A"/>
    <w:rsid w:val="003D6CEF"/>
    <w:rsid w:val="003D7465"/>
    <w:rsid w:val="003D746E"/>
    <w:rsid w:val="003E07D5"/>
    <w:rsid w:val="003E0A1D"/>
    <w:rsid w:val="003E1246"/>
    <w:rsid w:val="003E2163"/>
    <w:rsid w:val="003E26A3"/>
    <w:rsid w:val="003E33B0"/>
    <w:rsid w:val="003E3472"/>
    <w:rsid w:val="003E388D"/>
    <w:rsid w:val="003E47B1"/>
    <w:rsid w:val="003E4B77"/>
    <w:rsid w:val="003E4CA6"/>
    <w:rsid w:val="003E514D"/>
    <w:rsid w:val="003E59F9"/>
    <w:rsid w:val="003E663E"/>
    <w:rsid w:val="003E6998"/>
    <w:rsid w:val="003E731A"/>
    <w:rsid w:val="003E74A4"/>
    <w:rsid w:val="003E78C4"/>
    <w:rsid w:val="003F0106"/>
    <w:rsid w:val="003F0454"/>
    <w:rsid w:val="003F05A2"/>
    <w:rsid w:val="003F084A"/>
    <w:rsid w:val="003F0B60"/>
    <w:rsid w:val="003F1207"/>
    <w:rsid w:val="003F1B32"/>
    <w:rsid w:val="003F1F17"/>
    <w:rsid w:val="003F235E"/>
    <w:rsid w:val="003F298B"/>
    <w:rsid w:val="003F2B49"/>
    <w:rsid w:val="003F2D6C"/>
    <w:rsid w:val="003F3519"/>
    <w:rsid w:val="003F3BF8"/>
    <w:rsid w:val="003F4865"/>
    <w:rsid w:val="003F555F"/>
    <w:rsid w:val="003F6B75"/>
    <w:rsid w:val="003F6BB4"/>
    <w:rsid w:val="003F6D57"/>
    <w:rsid w:val="003F71A6"/>
    <w:rsid w:val="003F7C98"/>
    <w:rsid w:val="004004C1"/>
    <w:rsid w:val="004012B2"/>
    <w:rsid w:val="004015DD"/>
    <w:rsid w:val="0040183D"/>
    <w:rsid w:val="00401EE6"/>
    <w:rsid w:val="00402173"/>
    <w:rsid w:val="004023D5"/>
    <w:rsid w:val="00402A19"/>
    <w:rsid w:val="004030CE"/>
    <w:rsid w:val="004039AC"/>
    <w:rsid w:val="00403A4E"/>
    <w:rsid w:val="004040E8"/>
    <w:rsid w:val="00404405"/>
    <w:rsid w:val="004045BB"/>
    <w:rsid w:val="00405159"/>
    <w:rsid w:val="00405184"/>
    <w:rsid w:val="0040572D"/>
    <w:rsid w:val="00406452"/>
    <w:rsid w:val="004064D2"/>
    <w:rsid w:val="00407178"/>
    <w:rsid w:val="0040726A"/>
    <w:rsid w:val="004075B3"/>
    <w:rsid w:val="00407858"/>
    <w:rsid w:val="0040787C"/>
    <w:rsid w:val="00407B11"/>
    <w:rsid w:val="00407B2B"/>
    <w:rsid w:val="00407B70"/>
    <w:rsid w:val="004103E1"/>
    <w:rsid w:val="00410418"/>
    <w:rsid w:val="00410654"/>
    <w:rsid w:val="00410AA7"/>
    <w:rsid w:val="00410B0C"/>
    <w:rsid w:val="00410B9E"/>
    <w:rsid w:val="00411468"/>
    <w:rsid w:val="004114C8"/>
    <w:rsid w:val="004115B2"/>
    <w:rsid w:val="0041252D"/>
    <w:rsid w:val="004129CD"/>
    <w:rsid w:val="004133A6"/>
    <w:rsid w:val="00413E05"/>
    <w:rsid w:val="004142C3"/>
    <w:rsid w:val="00414BA5"/>
    <w:rsid w:val="0041533E"/>
    <w:rsid w:val="0041591C"/>
    <w:rsid w:val="00415A3F"/>
    <w:rsid w:val="00415E66"/>
    <w:rsid w:val="00415F51"/>
    <w:rsid w:val="00416525"/>
    <w:rsid w:val="00417717"/>
    <w:rsid w:val="004179CC"/>
    <w:rsid w:val="00417CDF"/>
    <w:rsid w:val="004214BA"/>
    <w:rsid w:val="0042172A"/>
    <w:rsid w:val="00421752"/>
    <w:rsid w:val="004221DE"/>
    <w:rsid w:val="00422836"/>
    <w:rsid w:val="00422A25"/>
    <w:rsid w:val="004230E0"/>
    <w:rsid w:val="00423348"/>
    <w:rsid w:val="00423805"/>
    <w:rsid w:val="00423C66"/>
    <w:rsid w:val="0042427D"/>
    <w:rsid w:val="00424555"/>
    <w:rsid w:val="004252B6"/>
    <w:rsid w:val="004253ED"/>
    <w:rsid w:val="00425809"/>
    <w:rsid w:val="00425A3A"/>
    <w:rsid w:val="00425F3B"/>
    <w:rsid w:val="004267A8"/>
    <w:rsid w:val="00426A17"/>
    <w:rsid w:val="00426EAC"/>
    <w:rsid w:val="00427E6A"/>
    <w:rsid w:val="004309F2"/>
    <w:rsid w:val="00430FA5"/>
    <w:rsid w:val="004313AE"/>
    <w:rsid w:val="004339B8"/>
    <w:rsid w:val="00433F58"/>
    <w:rsid w:val="004348E2"/>
    <w:rsid w:val="00434ADF"/>
    <w:rsid w:val="00435530"/>
    <w:rsid w:val="00435993"/>
    <w:rsid w:val="00436090"/>
    <w:rsid w:val="004360E8"/>
    <w:rsid w:val="0043715F"/>
    <w:rsid w:val="004373A8"/>
    <w:rsid w:val="0043794F"/>
    <w:rsid w:val="0044051F"/>
    <w:rsid w:val="004407F4"/>
    <w:rsid w:val="004408F0"/>
    <w:rsid w:val="00440F1E"/>
    <w:rsid w:val="004411B8"/>
    <w:rsid w:val="004422A4"/>
    <w:rsid w:val="00442561"/>
    <w:rsid w:val="004429BA"/>
    <w:rsid w:val="00442AD5"/>
    <w:rsid w:val="00442B30"/>
    <w:rsid w:val="004437FD"/>
    <w:rsid w:val="00443B52"/>
    <w:rsid w:val="00443E9B"/>
    <w:rsid w:val="004443E0"/>
    <w:rsid w:val="004445AE"/>
    <w:rsid w:val="00444DFB"/>
    <w:rsid w:val="00444E14"/>
    <w:rsid w:val="0044545B"/>
    <w:rsid w:val="00446AAD"/>
    <w:rsid w:val="004478A4"/>
    <w:rsid w:val="0045032D"/>
    <w:rsid w:val="0045060B"/>
    <w:rsid w:val="004506EC"/>
    <w:rsid w:val="00450C5F"/>
    <w:rsid w:val="00450CF6"/>
    <w:rsid w:val="0045112E"/>
    <w:rsid w:val="004517B7"/>
    <w:rsid w:val="0045184D"/>
    <w:rsid w:val="00451D79"/>
    <w:rsid w:val="004534A5"/>
    <w:rsid w:val="004535C3"/>
    <w:rsid w:val="00453A28"/>
    <w:rsid w:val="00453B09"/>
    <w:rsid w:val="00454620"/>
    <w:rsid w:val="004546C7"/>
    <w:rsid w:val="0045474A"/>
    <w:rsid w:val="00454D08"/>
    <w:rsid w:val="00455347"/>
    <w:rsid w:val="004556C2"/>
    <w:rsid w:val="004556CE"/>
    <w:rsid w:val="004562F3"/>
    <w:rsid w:val="00456306"/>
    <w:rsid w:val="00456491"/>
    <w:rsid w:val="00456518"/>
    <w:rsid w:val="00456D5C"/>
    <w:rsid w:val="00456FC9"/>
    <w:rsid w:val="00457A18"/>
    <w:rsid w:val="00457B0E"/>
    <w:rsid w:val="00457D40"/>
    <w:rsid w:val="004602B2"/>
    <w:rsid w:val="004603C6"/>
    <w:rsid w:val="00460E34"/>
    <w:rsid w:val="0046155C"/>
    <w:rsid w:val="00461D41"/>
    <w:rsid w:val="00462712"/>
    <w:rsid w:val="004631BB"/>
    <w:rsid w:val="00463792"/>
    <w:rsid w:val="00463934"/>
    <w:rsid w:val="00463D5F"/>
    <w:rsid w:val="00464080"/>
    <w:rsid w:val="00464171"/>
    <w:rsid w:val="00464605"/>
    <w:rsid w:val="00464E7B"/>
    <w:rsid w:val="00465411"/>
    <w:rsid w:val="00465704"/>
    <w:rsid w:val="00465AFD"/>
    <w:rsid w:val="00465BA3"/>
    <w:rsid w:val="00466397"/>
    <w:rsid w:val="00466442"/>
    <w:rsid w:val="00466E6A"/>
    <w:rsid w:val="00466ED6"/>
    <w:rsid w:val="00466F36"/>
    <w:rsid w:val="004708B5"/>
    <w:rsid w:val="00470941"/>
    <w:rsid w:val="00470CA7"/>
    <w:rsid w:val="004712D9"/>
    <w:rsid w:val="004715A6"/>
    <w:rsid w:val="00471C37"/>
    <w:rsid w:val="00471EE0"/>
    <w:rsid w:val="0047250F"/>
    <w:rsid w:val="00472F11"/>
    <w:rsid w:val="004743DD"/>
    <w:rsid w:val="00474716"/>
    <w:rsid w:val="004748D1"/>
    <w:rsid w:val="00475E16"/>
    <w:rsid w:val="00476036"/>
    <w:rsid w:val="0047672C"/>
    <w:rsid w:val="00476BAC"/>
    <w:rsid w:val="00476E09"/>
    <w:rsid w:val="00477063"/>
    <w:rsid w:val="00477226"/>
    <w:rsid w:val="0047726F"/>
    <w:rsid w:val="00477554"/>
    <w:rsid w:val="004775C1"/>
    <w:rsid w:val="004778F3"/>
    <w:rsid w:val="00477B8D"/>
    <w:rsid w:val="00480460"/>
    <w:rsid w:val="00480BB8"/>
    <w:rsid w:val="004810CA"/>
    <w:rsid w:val="00481129"/>
    <w:rsid w:val="00481BFE"/>
    <w:rsid w:val="0048226A"/>
    <w:rsid w:val="00482607"/>
    <w:rsid w:val="0048269B"/>
    <w:rsid w:val="00482721"/>
    <w:rsid w:val="0048272C"/>
    <w:rsid w:val="0048281C"/>
    <w:rsid w:val="00482A55"/>
    <w:rsid w:val="00484044"/>
    <w:rsid w:val="004840C7"/>
    <w:rsid w:val="00484595"/>
    <w:rsid w:val="004847E6"/>
    <w:rsid w:val="00485771"/>
    <w:rsid w:val="004866D6"/>
    <w:rsid w:val="0048672D"/>
    <w:rsid w:val="00486901"/>
    <w:rsid w:val="00487840"/>
    <w:rsid w:val="00487B17"/>
    <w:rsid w:val="00487C06"/>
    <w:rsid w:val="00487D5E"/>
    <w:rsid w:val="0049081E"/>
    <w:rsid w:val="004909B6"/>
    <w:rsid w:val="004909BB"/>
    <w:rsid w:val="00491633"/>
    <w:rsid w:val="004916BA"/>
    <w:rsid w:val="004919BD"/>
    <w:rsid w:val="00491B16"/>
    <w:rsid w:val="00491ECE"/>
    <w:rsid w:val="004921BF"/>
    <w:rsid w:val="004924C0"/>
    <w:rsid w:val="00492B0F"/>
    <w:rsid w:val="00492CA8"/>
    <w:rsid w:val="00493043"/>
    <w:rsid w:val="00493C92"/>
    <w:rsid w:val="0049413C"/>
    <w:rsid w:val="00494A6C"/>
    <w:rsid w:val="00494EF4"/>
    <w:rsid w:val="0049509C"/>
    <w:rsid w:val="004950D2"/>
    <w:rsid w:val="004951FA"/>
    <w:rsid w:val="00495300"/>
    <w:rsid w:val="004964F9"/>
    <w:rsid w:val="00496BB9"/>
    <w:rsid w:val="00497638"/>
    <w:rsid w:val="004A0AC0"/>
    <w:rsid w:val="004A151C"/>
    <w:rsid w:val="004A157C"/>
    <w:rsid w:val="004A15B6"/>
    <w:rsid w:val="004A267F"/>
    <w:rsid w:val="004A272F"/>
    <w:rsid w:val="004A2746"/>
    <w:rsid w:val="004A2C16"/>
    <w:rsid w:val="004A4922"/>
    <w:rsid w:val="004A4A9B"/>
    <w:rsid w:val="004A4B43"/>
    <w:rsid w:val="004A5A61"/>
    <w:rsid w:val="004A5B27"/>
    <w:rsid w:val="004A5E43"/>
    <w:rsid w:val="004A75EE"/>
    <w:rsid w:val="004A7EF1"/>
    <w:rsid w:val="004B0891"/>
    <w:rsid w:val="004B1990"/>
    <w:rsid w:val="004B200A"/>
    <w:rsid w:val="004B2882"/>
    <w:rsid w:val="004B2C73"/>
    <w:rsid w:val="004B2E18"/>
    <w:rsid w:val="004B379E"/>
    <w:rsid w:val="004B50FA"/>
    <w:rsid w:val="004B5544"/>
    <w:rsid w:val="004B5FD8"/>
    <w:rsid w:val="004B65E1"/>
    <w:rsid w:val="004B67EB"/>
    <w:rsid w:val="004B7BCA"/>
    <w:rsid w:val="004C0134"/>
    <w:rsid w:val="004C08FE"/>
    <w:rsid w:val="004C15C6"/>
    <w:rsid w:val="004C2326"/>
    <w:rsid w:val="004C3109"/>
    <w:rsid w:val="004C318B"/>
    <w:rsid w:val="004C381A"/>
    <w:rsid w:val="004C3D0E"/>
    <w:rsid w:val="004C3D58"/>
    <w:rsid w:val="004C3F64"/>
    <w:rsid w:val="004C48EB"/>
    <w:rsid w:val="004C4FED"/>
    <w:rsid w:val="004C5274"/>
    <w:rsid w:val="004C5D4F"/>
    <w:rsid w:val="004C632D"/>
    <w:rsid w:val="004C6853"/>
    <w:rsid w:val="004C6B86"/>
    <w:rsid w:val="004C6D57"/>
    <w:rsid w:val="004C701C"/>
    <w:rsid w:val="004C753A"/>
    <w:rsid w:val="004C7E1F"/>
    <w:rsid w:val="004D0111"/>
    <w:rsid w:val="004D08FC"/>
    <w:rsid w:val="004D1108"/>
    <w:rsid w:val="004D1173"/>
    <w:rsid w:val="004D1798"/>
    <w:rsid w:val="004D2826"/>
    <w:rsid w:val="004D2C32"/>
    <w:rsid w:val="004D35B1"/>
    <w:rsid w:val="004D399B"/>
    <w:rsid w:val="004D3FE7"/>
    <w:rsid w:val="004D47CC"/>
    <w:rsid w:val="004D4917"/>
    <w:rsid w:val="004D49C0"/>
    <w:rsid w:val="004D4B13"/>
    <w:rsid w:val="004D4C67"/>
    <w:rsid w:val="004D5353"/>
    <w:rsid w:val="004D53C6"/>
    <w:rsid w:val="004D554B"/>
    <w:rsid w:val="004D57CC"/>
    <w:rsid w:val="004D5A78"/>
    <w:rsid w:val="004D5BB0"/>
    <w:rsid w:val="004D5F75"/>
    <w:rsid w:val="004D6228"/>
    <w:rsid w:val="004D6BDC"/>
    <w:rsid w:val="004D6BE6"/>
    <w:rsid w:val="004D6E5B"/>
    <w:rsid w:val="004D7A11"/>
    <w:rsid w:val="004E07A7"/>
    <w:rsid w:val="004E0951"/>
    <w:rsid w:val="004E1280"/>
    <w:rsid w:val="004E1295"/>
    <w:rsid w:val="004E14BD"/>
    <w:rsid w:val="004E19FD"/>
    <w:rsid w:val="004E1A02"/>
    <w:rsid w:val="004E1FDF"/>
    <w:rsid w:val="004E209E"/>
    <w:rsid w:val="004E20AC"/>
    <w:rsid w:val="004E20F7"/>
    <w:rsid w:val="004E2561"/>
    <w:rsid w:val="004E2E57"/>
    <w:rsid w:val="004E365D"/>
    <w:rsid w:val="004E3C61"/>
    <w:rsid w:val="004E3DEE"/>
    <w:rsid w:val="004E3E75"/>
    <w:rsid w:val="004E4107"/>
    <w:rsid w:val="004E41CF"/>
    <w:rsid w:val="004E42BD"/>
    <w:rsid w:val="004E4890"/>
    <w:rsid w:val="004E494A"/>
    <w:rsid w:val="004E4FA6"/>
    <w:rsid w:val="004E60D3"/>
    <w:rsid w:val="004E618F"/>
    <w:rsid w:val="004E6408"/>
    <w:rsid w:val="004E6AC8"/>
    <w:rsid w:val="004E6E7E"/>
    <w:rsid w:val="004E7289"/>
    <w:rsid w:val="004E7AD9"/>
    <w:rsid w:val="004F09C7"/>
    <w:rsid w:val="004F0ABC"/>
    <w:rsid w:val="004F0C90"/>
    <w:rsid w:val="004F1DB9"/>
    <w:rsid w:val="004F25C7"/>
    <w:rsid w:val="004F2DB3"/>
    <w:rsid w:val="004F3080"/>
    <w:rsid w:val="004F35E6"/>
    <w:rsid w:val="004F35FA"/>
    <w:rsid w:val="004F3D05"/>
    <w:rsid w:val="004F3F2F"/>
    <w:rsid w:val="004F4228"/>
    <w:rsid w:val="004F47B7"/>
    <w:rsid w:val="004F4855"/>
    <w:rsid w:val="004F4DAA"/>
    <w:rsid w:val="004F4EF9"/>
    <w:rsid w:val="004F55BE"/>
    <w:rsid w:val="004F60D6"/>
    <w:rsid w:val="004F6276"/>
    <w:rsid w:val="004F6A24"/>
    <w:rsid w:val="004F6A4A"/>
    <w:rsid w:val="004F6D32"/>
    <w:rsid w:val="004F7200"/>
    <w:rsid w:val="004F7C6E"/>
    <w:rsid w:val="004F7F48"/>
    <w:rsid w:val="004F7FE2"/>
    <w:rsid w:val="0050014D"/>
    <w:rsid w:val="005004A0"/>
    <w:rsid w:val="00500605"/>
    <w:rsid w:val="0050098D"/>
    <w:rsid w:val="00500AFC"/>
    <w:rsid w:val="00500DAA"/>
    <w:rsid w:val="005013A7"/>
    <w:rsid w:val="00501482"/>
    <w:rsid w:val="00501725"/>
    <w:rsid w:val="00501810"/>
    <w:rsid w:val="005018BE"/>
    <w:rsid w:val="00501BFA"/>
    <w:rsid w:val="00501F4B"/>
    <w:rsid w:val="00502910"/>
    <w:rsid w:val="00503420"/>
    <w:rsid w:val="0050357A"/>
    <w:rsid w:val="005036C0"/>
    <w:rsid w:val="0050399B"/>
    <w:rsid w:val="0050455B"/>
    <w:rsid w:val="0050584E"/>
    <w:rsid w:val="005059C3"/>
    <w:rsid w:val="0050615C"/>
    <w:rsid w:val="00506BA8"/>
    <w:rsid w:val="005100D0"/>
    <w:rsid w:val="005104DB"/>
    <w:rsid w:val="00510610"/>
    <w:rsid w:val="00510D89"/>
    <w:rsid w:val="00511206"/>
    <w:rsid w:val="005115D6"/>
    <w:rsid w:val="005115E2"/>
    <w:rsid w:val="005117D6"/>
    <w:rsid w:val="00511DEA"/>
    <w:rsid w:val="00511F6D"/>
    <w:rsid w:val="00512F3B"/>
    <w:rsid w:val="00513421"/>
    <w:rsid w:val="0051363F"/>
    <w:rsid w:val="00513981"/>
    <w:rsid w:val="00513FC6"/>
    <w:rsid w:val="005141E6"/>
    <w:rsid w:val="0051476C"/>
    <w:rsid w:val="00514F81"/>
    <w:rsid w:val="00515275"/>
    <w:rsid w:val="005153DB"/>
    <w:rsid w:val="005158A4"/>
    <w:rsid w:val="00515EB2"/>
    <w:rsid w:val="00515F83"/>
    <w:rsid w:val="00516BA7"/>
    <w:rsid w:val="00516BAD"/>
    <w:rsid w:val="00517671"/>
    <w:rsid w:val="00520399"/>
    <w:rsid w:val="0052168F"/>
    <w:rsid w:val="00521B79"/>
    <w:rsid w:val="00521C97"/>
    <w:rsid w:val="00521D1A"/>
    <w:rsid w:val="0052203F"/>
    <w:rsid w:val="0052294B"/>
    <w:rsid w:val="00522A95"/>
    <w:rsid w:val="005230F0"/>
    <w:rsid w:val="005238D1"/>
    <w:rsid w:val="005242E1"/>
    <w:rsid w:val="005249E3"/>
    <w:rsid w:val="005252B1"/>
    <w:rsid w:val="00525612"/>
    <w:rsid w:val="00525BC1"/>
    <w:rsid w:val="00525E7B"/>
    <w:rsid w:val="00526B7B"/>
    <w:rsid w:val="0052715F"/>
    <w:rsid w:val="0052746F"/>
    <w:rsid w:val="005276AE"/>
    <w:rsid w:val="00530604"/>
    <w:rsid w:val="0053062C"/>
    <w:rsid w:val="0053073B"/>
    <w:rsid w:val="00530CB3"/>
    <w:rsid w:val="005317A8"/>
    <w:rsid w:val="0053180D"/>
    <w:rsid w:val="005318BD"/>
    <w:rsid w:val="00531AF0"/>
    <w:rsid w:val="00531BAC"/>
    <w:rsid w:val="00531CB4"/>
    <w:rsid w:val="0053254E"/>
    <w:rsid w:val="00532E15"/>
    <w:rsid w:val="00533339"/>
    <w:rsid w:val="005334A1"/>
    <w:rsid w:val="00534127"/>
    <w:rsid w:val="00534F03"/>
    <w:rsid w:val="005357EE"/>
    <w:rsid w:val="00535B44"/>
    <w:rsid w:val="00535F60"/>
    <w:rsid w:val="00536227"/>
    <w:rsid w:val="00536434"/>
    <w:rsid w:val="005400D9"/>
    <w:rsid w:val="00540756"/>
    <w:rsid w:val="00540E21"/>
    <w:rsid w:val="00540FB5"/>
    <w:rsid w:val="00541954"/>
    <w:rsid w:val="00541C32"/>
    <w:rsid w:val="00541EC0"/>
    <w:rsid w:val="00542321"/>
    <w:rsid w:val="00543468"/>
    <w:rsid w:val="00543814"/>
    <w:rsid w:val="00543C48"/>
    <w:rsid w:val="00545463"/>
    <w:rsid w:val="00545583"/>
    <w:rsid w:val="00545C04"/>
    <w:rsid w:val="0054601F"/>
    <w:rsid w:val="00546EE6"/>
    <w:rsid w:val="0055051C"/>
    <w:rsid w:val="005509C0"/>
    <w:rsid w:val="00550A9B"/>
    <w:rsid w:val="00550B89"/>
    <w:rsid w:val="005517F1"/>
    <w:rsid w:val="00551DE0"/>
    <w:rsid w:val="005520A4"/>
    <w:rsid w:val="00552433"/>
    <w:rsid w:val="0055260D"/>
    <w:rsid w:val="005539CD"/>
    <w:rsid w:val="00553ABE"/>
    <w:rsid w:val="00553BCF"/>
    <w:rsid w:val="00553EE3"/>
    <w:rsid w:val="0055431D"/>
    <w:rsid w:val="00554828"/>
    <w:rsid w:val="0055688E"/>
    <w:rsid w:val="0055723A"/>
    <w:rsid w:val="0055773B"/>
    <w:rsid w:val="00557826"/>
    <w:rsid w:val="00560481"/>
    <w:rsid w:val="00560C68"/>
    <w:rsid w:val="00560F07"/>
    <w:rsid w:val="005617EE"/>
    <w:rsid w:val="00562019"/>
    <w:rsid w:val="00562084"/>
    <w:rsid w:val="005620E6"/>
    <w:rsid w:val="005621F5"/>
    <w:rsid w:val="00562AE5"/>
    <w:rsid w:val="00562FFC"/>
    <w:rsid w:val="00563712"/>
    <w:rsid w:val="005637BA"/>
    <w:rsid w:val="00563AAA"/>
    <w:rsid w:val="00564057"/>
    <w:rsid w:val="005640A1"/>
    <w:rsid w:val="0056451E"/>
    <w:rsid w:val="00564BE9"/>
    <w:rsid w:val="00564E33"/>
    <w:rsid w:val="00564F93"/>
    <w:rsid w:val="00565CD2"/>
    <w:rsid w:val="00565F82"/>
    <w:rsid w:val="005663E0"/>
    <w:rsid w:val="0056641A"/>
    <w:rsid w:val="005665EB"/>
    <w:rsid w:val="00566AA9"/>
    <w:rsid w:val="00566DD9"/>
    <w:rsid w:val="00567173"/>
    <w:rsid w:val="005672C6"/>
    <w:rsid w:val="005673AE"/>
    <w:rsid w:val="00567752"/>
    <w:rsid w:val="0057018D"/>
    <w:rsid w:val="005702A2"/>
    <w:rsid w:val="0057041A"/>
    <w:rsid w:val="005711D3"/>
    <w:rsid w:val="00571E5F"/>
    <w:rsid w:val="0057228A"/>
    <w:rsid w:val="00572C28"/>
    <w:rsid w:val="005731EC"/>
    <w:rsid w:val="005735DB"/>
    <w:rsid w:val="00573B92"/>
    <w:rsid w:val="00573CEF"/>
    <w:rsid w:val="00573F71"/>
    <w:rsid w:val="005741F1"/>
    <w:rsid w:val="005749C7"/>
    <w:rsid w:val="00575043"/>
    <w:rsid w:val="005755C8"/>
    <w:rsid w:val="0057564F"/>
    <w:rsid w:val="00577282"/>
    <w:rsid w:val="005801A9"/>
    <w:rsid w:val="0058070E"/>
    <w:rsid w:val="00580F04"/>
    <w:rsid w:val="005810F4"/>
    <w:rsid w:val="005818A3"/>
    <w:rsid w:val="005819F4"/>
    <w:rsid w:val="00582174"/>
    <w:rsid w:val="00582ADC"/>
    <w:rsid w:val="005834A9"/>
    <w:rsid w:val="00583666"/>
    <w:rsid w:val="0058369B"/>
    <w:rsid w:val="00583C83"/>
    <w:rsid w:val="00583F6D"/>
    <w:rsid w:val="00584100"/>
    <w:rsid w:val="005845A5"/>
    <w:rsid w:val="00584A04"/>
    <w:rsid w:val="00585935"/>
    <w:rsid w:val="00585CA1"/>
    <w:rsid w:val="00586860"/>
    <w:rsid w:val="005868F1"/>
    <w:rsid w:val="00586BB1"/>
    <w:rsid w:val="00586D5D"/>
    <w:rsid w:val="00586F25"/>
    <w:rsid w:val="00587B34"/>
    <w:rsid w:val="0059053A"/>
    <w:rsid w:val="0059061D"/>
    <w:rsid w:val="0059062D"/>
    <w:rsid w:val="00590666"/>
    <w:rsid w:val="005909E4"/>
    <w:rsid w:val="0059164C"/>
    <w:rsid w:val="005923A4"/>
    <w:rsid w:val="00592CBA"/>
    <w:rsid w:val="00592EC4"/>
    <w:rsid w:val="00592FB4"/>
    <w:rsid w:val="005938AF"/>
    <w:rsid w:val="005939FF"/>
    <w:rsid w:val="0059402D"/>
    <w:rsid w:val="00594ED5"/>
    <w:rsid w:val="0059591C"/>
    <w:rsid w:val="00595EAD"/>
    <w:rsid w:val="005972D7"/>
    <w:rsid w:val="005A025C"/>
    <w:rsid w:val="005A02B5"/>
    <w:rsid w:val="005A02FA"/>
    <w:rsid w:val="005A0975"/>
    <w:rsid w:val="005A0A1E"/>
    <w:rsid w:val="005A0ABC"/>
    <w:rsid w:val="005A1089"/>
    <w:rsid w:val="005A1B92"/>
    <w:rsid w:val="005A1DB9"/>
    <w:rsid w:val="005A214F"/>
    <w:rsid w:val="005A2369"/>
    <w:rsid w:val="005A2831"/>
    <w:rsid w:val="005A29A7"/>
    <w:rsid w:val="005A2D10"/>
    <w:rsid w:val="005A33D6"/>
    <w:rsid w:val="005A36BB"/>
    <w:rsid w:val="005A3D93"/>
    <w:rsid w:val="005A3F2F"/>
    <w:rsid w:val="005A4D39"/>
    <w:rsid w:val="005A524E"/>
    <w:rsid w:val="005A55EB"/>
    <w:rsid w:val="005A57C4"/>
    <w:rsid w:val="005A5937"/>
    <w:rsid w:val="005A6056"/>
    <w:rsid w:val="005A6123"/>
    <w:rsid w:val="005A6E61"/>
    <w:rsid w:val="005A707A"/>
    <w:rsid w:val="005A721C"/>
    <w:rsid w:val="005B0425"/>
    <w:rsid w:val="005B0508"/>
    <w:rsid w:val="005B059D"/>
    <w:rsid w:val="005B0970"/>
    <w:rsid w:val="005B15B3"/>
    <w:rsid w:val="005B161D"/>
    <w:rsid w:val="005B1F8E"/>
    <w:rsid w:val="005B2985"/>
    <w:rsid w:val="005B2E38"/>
    <w:rsid w:val="005B3273"/>
    <w:rsid w:val="005B32C4"/>
    <w:rsid w:val="005B3928"/>
    <w:rsid w:val="005B399C"/>
    <w:rsid w:val="005B473A"/>
    <w:rsid w:val="005B4B43"/>
    <w:rsid w:val="005B4B4C"/>
    <w:rsid w:val="005B522C"/>
    <w:rsid w:val="005B536E"/>
    <w:rsid w:val="005B5A1A"/>
    <w:rsid w:val="005B5B85"/>
    <w:rsid w:val="005B5D86"/>
    <w:rsid w:val="005B640F"/>
    <w:rsid w:val="005B6AAD"/>
    <w:rsid w:val="005B6F99"/>
    <w:rsid w:val="005B70A9"/>
    <w:rsid w:val="005B7525"/>
    <w:rsid w:val="005B79D7"/>
    <w:rsid w:val="005B7CC8"/>
    <w:rsid w:val="005C04D1"/>
    <w:rsid w:val="005C0887"/>
    <w:rsid w:val="005C0D34"/>
    <w:rsid w:val="005C0F52"/>
    <w:rsid w:val="005C1292"/>
    <w:rsid w:val="005C1A5B"/>
    <w:rsid w:val="005C1B87"/>
    <w:rsid w:val="005C1CFD"/>
    <w:rsid w:val="005C26D5"/>
    <w:rsid w:val="005C2A33"/>
    <w:rsid w:val="005C3168"/>
    <w:rsid w:val="005C5AF5"/>
    <w:rsid w:val="005C5B87"/>
    <w:rsid w:val="005C6324"/>
    <w:rsid w:val="005C781E"/>
    <w:rsid w:val="005C7B63"/>
    <w:rsid w:val="005D12F7"/>
    <w:rsid w:val="005D28D6"/>
    <w:rsid w:val="005D3FED"/>
    <w:rsid w:val="005D4078"/>
    <w:rsid w:val="005D415D"/>
    <w:rsid w:val="005D48C8"/>
    <w:rsid w:val="005D5337"/>
    <w:rsid w:val="005D59D8"/>
    <w:rsid w:val="005D6365"/>
    <w:rsid w:val="005D6758"/>
    <w:rsid w:val="005D6944"/>
    <w:rsid w:val="005D6988"/>
    <w:rsid w:val="005D6E04"/>
    <w:rsid w:val="005D6EF5"/>
    <w:rsid w:val="005D7493"/>
    <w:rsid w:val="005D7CE1"/>
    <w:rsid w:val="005D7EE7"/>
    <w:rsid w:val="005D7EF3"/>
    <w:rsid w:val="005E015C"/>
    <w:rsid w:val="005E0294"/>
    <w:rsid w:val="005E0AD4"/>
    <w:rsid w:val="005E1221"/>
    <w:rsid w:val="005E12E2"/>
    <w:rsid w:val="005E14F8"/>
    <w:rsid w:val="005E1934"/>
    <w:rsid w:val="005E209F"/>
    <w:rsid w:val="005E2568"/>
    <w:rsid w:val="005E25C9"/>
    <w:rsid w:val="005E26E4"/>
    <w:rsid w:val="005E349C"/>
    <w:rsid w:val="005E4236"/>
    <w:rsid w:val="005E43ED"/>
    <w:rsid w:val="005E4B88"/>
    <w:rsid w:val="005E5147"/>
    <w:rsid w:val="005E6370"/>
    <w:rsid w:val="005E6687"/>
    <w:rsid w:val="005E6C2D"/>
    <w:rsid w:val="005E700C"/>
    <w:rsid w:val="005E7FE8"/>
    <w:rsid w:val="005F0CF0"/>
    <w:rsid w:val="005F0E8A"/>
    <w:rsid w:val="005F2020"/>
    <w:rsid w:val="005F2DBB"/>
    <w:rsid w:val="005F3153"/>
    <w:rsid w:val="005F3193"/>
    <w:rsid w:val="005F31CF"/>
    <w:rsid w:val="005F3FAA"/>
    <w:rsid w:val="005F41E3"/>
    <w:rsid w:val="005F43C2"/>
    <w:rsid w:val="005F4486"/>
    <w:rsid w:val="005F4BBE"/>
    <w:rsid w:val="005F4EE5"/>
    <w:rsid w:val="005F5137"/>
    <w:rsid w:val="005F56E7"/>
    <w:rsid w:val="005F5C26"/>
    <w:rsid w:val="005F6092"/>
    <w:rsid w:val="005F6E16"/>
    <w:rsid w:val="005F6FF0"/>
    <w:rsid w:val="005F702A"/>
    <w:rsid w:val="005F7315"/>
    <w:rsid w:val="005F7888"/>
    <w:rsid w:val="005F7AD8"/>
    <w:rsid w:val="005F7BF3"/>
    <w:rsid w:val="00600107"/>
    <w:rsid w:val="0060010C"/>
    <w:rsid w:val="006002C9"/>
    <w:rsid w:val="006004B8"/>
    <w:rsid w:val="006016AA"/>
    <w:rsid w:val="00602F4E"/>
    <w:rsid w:val="0060352B"/>
    <w:rsid w:val="006041B0"/>
    <w:rsid w:val="0060422A"/>
    <w:rsid w:val="006044CC"/>
    <w:rsid w:val="0060467E"/>
    <w:rsid w:val="006050B9"/>
    <w:rsid w:val="006054BE"/>
    <w:rsid w:val="00605526"/>
    <w:rsid w:val="00605776"/>
    <w:rsid w:val="006057E0"/>
    <w:rsid w:val="00605C92"/>
    <w:rsid w:val="00606331"/>
    <w:rsid w:val="00606B2F"/>
    <w:rsid w:val="00607703"/>
    <w:rsid w:val="00607AFB"/>
    <w:rsid w:val="00607B5E"/>
    <w:rsid w:val="00607E27"/>
    <w:rsid w:val="006101DE"/>
    <w:rsid w:val="00610C63"/>
    <w:rsid w:val="00610C6F"/>
    <w:rsid w:val="00610D63"/>
    <w:rsid w:val="00611EDF"/>
    <w:rsid w:val="00612B86"/>
    <w:rsid w:val="00612D43"/>
    <w:rsid w:val="00612D98"/>
    <w:rsid w:val="00612FD3"/>
    <w:rsid w:val="00613226"/>
    <w:rsid w:val="00613B1A"/>
    <w:rsid w:val="006144C1"/>
    <w:rsid w:val="0061486E"/>
    <w:rsid w:val="006151DB"/>
    <w:rsid w:val="00615EA2"/>
    <w:rsid w:val="006160C6"/>
    <w:rsid w:val="006167DF"/>
    <w:rsid w:val="006169FE"/>
    <w:rsid w:val="00617381"/>
    <w:rsid w:val="00617810"/>
    <w:rsid w:val="0062010C"/>
    <w:rsid w:val="00620D99"/>
    <w:rsid w:val="00621630"/>
    <w:rsid w:val="00621D5A"/>
    <w:rsid w:val="00622465"/>
    <w:rsid w:val="00622672"/>
    <w:rsid w:val="00622F39"/>
    <w:rsid w:val="006230F6"/>
    <w:rsid w:val="00624008"/>
    <w:rsid w:val="0062478C"/>
    <w:rsid w:val="00624CAB"/>
    <w:rsid w:val="00624CBD"/>
    <w:rsid w:val="00624FDB"/>
    <w:rsid w:val="00625051"/>
    <w:rsid w:val="00625F7C"/>
    <w:rsid w:val="00626288"/>
    <w:rsid w:val="006263B5"/>
    <w:rsid w:val="006265DC"/>
    <w:rsid w:val="0062687B"/>
    <w:rsid w:val="00626C99"/>
    <w:rsid w:val="00626E63"/>
    <w:rsid w:val="006271DC"/>
    <w:rsid w:val="0062750D"/>
    <w:rsid w:val="006305DF"/>
    <w:rsid w:val="00630B0F"/>
    <w:rsid w:val="006312A3"/>
    <w:rsid w:val="0063291D"/>
    <w:rsid w:val="00632C51"/>
    <w:rsid w:val="00632F16"/>
    <w:rsid w:val="0063307F"/>
    <w:rsid w:val="00633442"/>
    <w:rsid w:val="00633DD6"/>
    <w:rsid w:val="00634033"/>
    <w:rsid w:val="006345B7"/>
    <w:rsid w:val="0063602F"/>
    <w:rsid w:val="00636128"/>
    <w:rsid w:val="00636C8D"/>
    <w:rsid w:val="00636DAE"/>
    <w:rsid w:val="00637148"/>
    <w:rsid w:val="006374D7"/>
    <w:rsid w:val="006408BC"/>
    <w:rsid w:val="00640E3A"/>
    <w:rsid w:val="00640EFF"/>
    <w:rsid w:val="00641344"/>
    <w:rsid w:val="00641939"/>
    <w:rsid w:val="00641A2F"/>
    <w:rsid w:val="00641DF4"/>
    <w:rsid w:val="006428E3"/>
    <w:rsid w:val="00642C6E"/>
    <w:rsid w:val="0064374B"/>
    <w:rsid w:val="00643DAD"/>
    <w:rsid w:val="00643F03"/>
    <w:rsid w:val="00644C71"/>
    <w:rsid w:val="00644F26"/>
    <w:rsid w:val="00645342"/>
    <w:rsid w:val="006454DA"/>
    <w:rsid w:val="00645CA2"/>
    <w:rsid w:val="006462D7"/>
    <w:rsid w:val="006462EB"/>
    <w:rsid w:val="0064643E"/>
    <w:rsid w:val="00646892"/>
    <w:rsid w:val="00646E4F"/>
    <w:rsid w:val="0064718E"/>
    <w:rsid w:val="00647724"/>
    <w:rsid w:val="006477F9"/>
    <w:rsid w:val="006478AF"/>
    <w:rsid w:val="00647D39"/>
    <w:rsid w:val="0065011C"/>
    <w:rsid w:val="00650C25"/>
    <w:rsid w:val="006512CC"/>
    <w:rsid w:val="0065193D"/>
    <w:rsid w:val="00652210"/>
    <w:rsid w:val="00652FD1"/>
    <w:rsid w:val="0065326D"/>
    <w:rsid w:val="00653524"/>
    <w:rsid w:val="006537EF"/>
    <w:rsid w:val="00653A09"/>
    <w:rsid w:val="00654142"/>
    <w:rsid w:val="006543AC"/>
    <w:rsid w:val="00654C91"/>
    <w:rsid w:val="00654F6E"/>
    <w:rsid w:val="0065544D"/>
    <w:rsid w:val="0065577A"/>
    <w:rsid w:val="006565E0"/>
    <w:rsid w:val="00656E83"/>
    <w:rsid w:val="006571E3"/>
    <w:rsid w:val="006574CD"/>
    <w:rsid w:val="00657F78"/>
    <w:rsid w:val="006606F0"/>
    <w:rsid w:val="006608F1"/>
    <w:rsid w:val="00660BCD"/>
    <w:rsid w:val="00660FE6"/>
    <w:rsid w:val="0066264E"/>
    <w:rsid w:val="006633F2"/>
    <w:rsid w:val="00663BDF"/>
    <w:rsid w:val="00663C9A"/>
    <w:rsid w:val="00663CD0"/>
    <w:rsid w:val="00664F3B"/>
    <w:rsid w:val="00665725"/>
    <w:rsid w:val="00665DF0"/>
    <w:rsid w:val="0066605E"/>
    <w:rsid w:val="00667655"/>
    <w:rsid w:val="00670FE2"/>
    <w:rsid w:val="00671231"/>
    <w:rsid w:val="006716EF"/>
    <w:rsid w:val="00671C75"/>
    <w:rsid w:val="006722BE"/>
    <w:rsid w:val="00672900"/>
    <w:rsid w:val="006731C3"/>
    <w:rsid w:val="006735CC"/>
    <w:rsid w:val="006746A6"/>
    <w:rsid w:val="00676147"/>
    <w:rsid w:val="0067688C"/>
    <w:rsid w:val="006770B0"/>
    <w:rsid w:val="006770E4"/>
    <w:rsid w:val="00677A95"/>
    <w:rsid w:val="00677D65"/>
    <w:rsid w:val="00677DAE"/>
    <w:rsid w:val="00680015"/>
    <w:rsid w:val="0068009D"/>
    <w:rsid w:val="00681048"/>
    <w:rsid w:val="006814A7"/>
    <w:rsid w:val="006815B6"/>
    <w:rsid w:val="00681CA6"/>
    <w:rsid w:val="006825E4"/>
    <w:rsid w:val="00682DD8"/>
    <w:rsid w:val="006833C8"/>
    <w:rsid w:val="00683A37"/>
    <w:rsid w:val="00683E15"/>
    <w:rsid w:val="00683EAB"/>
    <w:rsid w:val="0068498B"/>
    <w:rsid w:val="00684CD4"/>
    <w:rsid w:val="00685A44"/>
    <w:rsid w:val="00686392"/>
    <w:rsid w:val="006875AF"/>
    <w:rsid w:val="00687B43"/>
    <w:rsid w:val="00687D23"/>
    <w:rsid w:val="00687FD5"/>
    <w:rsid w:val="00690215"/>
    <w:rsid w:val="006902E0"/>
    <w:rsid w:val="006905B3"/>
    <w:rsid w:val="00690614"/>
    <w:rsid w:val="00690D54"/>
    <w:rsid w:val="00690E3D"/>
    <w:rsid w:val="00691522"/>
    <w:rsid w:val="006917DD"/>
    <w:rsid w:val="00691C82"/>
    <w:rsid w:val="00691F85"/>
    <w:rsid w:val="00692613"/>
    <w:rsid w:val="0069278D"/>
    <w:rsid w:val="00692937"/>
    <w:rsid w:val="00693B6A"/>
    <w:rsid w:val="006940BA"/>
    <w:rsid w:val="00694A92"/>
    <w:rsid w:val="00694FF6"/>
    <w:rsid w:val="0069553E"/>
    <w:rsid w:val="00695C5B"/>
    <w:rsid w:val="00695CCC"/>
    <w:rsid w:val="00695DEA"/>
    <w:rsid w:val="00696740"/>
    <w:rsid w:val="00697335"/>
    <w:rsid w:val="0069780D"/>
    <w:rsid w:val="006A0594"/>
    <w:rsid w:val="006A05C7"/>
    <w:rsid w:val="006A0857"/>
    <w:rsid w:val="006A0A79"/>
    <w:rsid w:val="006A216E"/>
    <w:rsid w:val="006A2734"/>
    <w:rsid w:val="006A330C"/>
    <w:rsid w:val="006A3367"/>
    <w:rsid w:val="006A3F23"/>
    <w:rsid w:val="006A466B"/>
    <w:rsid w:val="006A485E"/>
    <w:rsid w:val="006A497E"/>
    <w:rsid w:val="006A4C9D"/>
    <w:rsid w:val="006A55BA"/>
    <w:rsid w:val="006A57F1"/>
    <w:rsid w:val="006A5BC9"/>
    <w:rsid w:val="006A6299"/>
    <w:rsid w:val="006A62DB"/>
    <w:rsid w:val="006A6469"/>
    <w:rsid w:val="006A6A5B"/>
    <w:rsid w:val="006A7F2F"/>
    <w:rsid w:val="006B073F"/>
    <w:rsid w:val="006B0E72"/>
    <w:rsid w:val="006B0FD4"/>
    <w:rsid w:val="006B1189"/>
    <w:rsid w:val="006B128E"/>
    <w:rsid w:val="006B1794"/>
    <w:rsid w:val="006B1798"/>
    <w:rsid w:val="006B17F6"/>
    <w:rsid w:val="006B199E"/>
    <w:rsid w:val="006B2323"/>
    <w:rsid w:val="006B262C"/>
    <w:rsid w:val="006B2ABF"/>
    <w:rsid w:val="006B3902"/>
    <w:rsid w:val="006B425B"/>
    <w:rsid w:val="006B4AB6"/>
    <w:rsid w:val="006B550C"/>
    <w:rsid w:val="006B5B42"/>
    <w:rsid w:val="006B6984"/>
    <w:rsid w:val="006B6CFF"/>
    <w:rsid w:val="006B6DC1"/>
    <w:rsid w:val="006B6ED2"/>
    <w:rsid w:val="006B770B"/>
    <w:rsid w:val="006B7880"/>
    <w:rsid w:val="006C000A"/>
    <w:rsid w:val="006C1A4F"/>
    <w:rsid w:val="006C3A6C"/>
    <w:rsid w:val="006C3FD6"/>
    <w:rsid w:val="006C457B"/>
    <w:rsid w:val="006C632F"/>
    <w:rsid w:val="006C6F8B"/>
    <w:rsid w:val="006C72A3"/>
    <w:rsid w:val="006C7724"/>
    <w:rsid w:val="006D030C"/>
    <w:rsid w:val="006D182F"/>
    <w:rsid w:val="006D1DB9"/>
    <w:rsid w:val="006D2273"/>
    <w:rsid w:val="006D2A43"/>
    <w:rsid w:val="006D2CCB"/>
    <w:rsid w:val="006D2CF9"/>
    <w:rsid w:val="006D3C38"/>
    <w:rsid w:val="006D3CAE"/>
    <w:rsid w:val="006D4338"/>
    <w:rsid w:val="006D46CC"/>
    <w:rsid w:val="006D52DF"/>
    <w:rsid w:val="006D578C"/>
    <w:rsid w:val="006D5CE4"/>
    <w:rsid w:val="006D5DD2"/>
    <w:rsid w:val="006D5F14"/>
    <w:rsid w:val="006D62DE"/>
    <w:rsid w:val="006D62F5"/>
    <w:rsid w:val="006D643D"/>
    <w:rsid w:val="006D669A"/>
    <w:rsid w:val="006D685C"/>
    <w:rsid w:val="006D69CA"/>
    <w:rsid w:val="006D78AB"/>
    <w:rsid w:val="006E076C"/>
    <w:rsid w:val="006E113D"/>
    <w:rsid w:val="006E201A"/>
    <w:rsid w:val="006E2134"/>
    <w:rsid w:val="006E2CD5"/>
    <w:rsid w:val="006E307C"/>
    <w:rsid w:val="006E3B56"/>
    <w:rsid w:val="006E43F2"/>
    <w:rsid w:val="006E4583"/>
    <w:rsid w:val="006E4622"/>
    <w:rsid w:val="006E5257"/>
    <w:rsid w:val="006E52CC"/>
    <w:rsid w:val="006E5D09"/>
    <w:rsid w:val="006E5DF0"/>
    <w:rsid w:val="006E60B8"/>
    <w:rsid w:val="006E60CB"/>
    <w:rsid w:val="006E6122"/>
    <w:rsid w:val="006E62B2"/>
    <w:rsid w:val="006E6368"/>
    <w:rsid w:val="006E752E"/>
    <w:rsid w:val="006E7A8A"/>
    <w:rsid w:val="006F0042"/>
    <w:rsid w:val="006F0F4A"/>
    <w:rsid w:val="006F1791"/>
    <w:rsid w:val="006F1B97"/>
    <w:rsid w:val="006F1BCC"/>
    <w:rsid w:val="006F1E2E"/>
    <w:rsid w:val="006F200B"/>
    <w:rsid w:val="006F22AD"/>
    <w:rsid w:val="006F246F"/>
    <w:rsid w:val="006F280E"/>
    <w:rsid w:val="006F33A9"/>
    <w:rsid w:val="006F354D"/>
    <w:rsid w:val="006F37FB"/>
    <w:rsid w:val="006F3999"/>
    <w:rsid w:val="006F49DA"/>
    <w:rsid w:val="006F4A29"/>
    <w:rsid w:val="006F5B2F"/>
    <w:rsid w:val="006F5F99"/>
    <w:rsid w:val="006F6211"/>
    <w:rsid w:val="006F7FD6"/>
    <w:rsid w:val="00700EFB"/>
    <w:rsid w:val="00701346"/>
    <w:rsid w:val="00701675"/>
    <w:rsid w:val="00701C3D"/>
    <w:rsid w:val="00702647"/>
    <w:rsid w:val="00703892"/>
    <w:rsid w:val="00703A65"/>
    <w:rsid w:val="00704005"/>
    <w:rsid w:val="007041B5"/>
    <w:rsid w:val="00705088"/>
    <w:rsid w:val="00705C08"/>
    <w:rsid w:val="0070630C"/>
    <w:rsid w:val="00706B2A"/>
    <w:rsid w:val="0070713A"/>
    <w:rsid w:val="007073D7"/>
    <w:rsid w:val="00710878"/>
    <w:rsid w:val="00710C0C"/>
    <w:rsid w:val="00711820"/>
    <w:rsid w:val="00711DF5"/>
    <w:rsid w:val="00712376"/>
    <w:rsid w:val="00712506"/>
    <w:rsid w:val="00713941"/>
    <w:rsid w:val="00713ABC"/>
    <w:rsid w:val="007140F6"/>
    <w:rsid w:val="00714532"/>
    <w:rsid w:val="00714B47"/>
    <w:rsid w:val="00714BE7"/>
    <w:rsid w:val="00714C3D"/>
    <w:rsid w:val="00714E77"/>
    <w:rsid w:val="00715E3E"/>
    <w:rsid w:val="00715F6E"/>
    <w:rsid w:val="00716D1B"/>
    <w:rsid w:val="00716D48"/>
    <w:rsid w:val="00716DD8"/>
    <w:rsid w:val="00717484"/>
    <w:rsid w:val="00717BB7"/>
    <w:rsid w:val="00717BE6"/>
    <w:rsid w:val="00717D1B"/>
    <w:rsid w:val="0072079C"/>
    <w:rsid w:val="00721759"/>
    <w:rsid w:val="00721993"/>
    <w:rsid w:val="00721D8A"/>
    <w:rsid w:val="00722D37"/>
    <w:rsid w:val="00722F25"/>
    <w:rsid w:val="00723190"/>
    <w:rsid w:val="007231DD"/>
    <w:rsid w:val="007233B4"/>
    <w:rsid w:val="00723CF8"/>
    <w:rsid w:val="007243D3"/>
    <w:rsid w:val="00724E6F"/>
    <w:rsid w:val="00725439"/>
    <w:rsid w:val="0072557A"/>
    <w:rsid w:val="00725A0F"/>
    <w:rsid w:val="0072660A"/>
    <w:rsid w:val="007266F3"/>
    <w:rsid w:val="00726809"/>
    <w:rsid w:val="00730776"/>
    <w:rsid w:val="00731333"/>
    <w:rsid w:val="0073148A"/>
    <w:rsid w:val="0073216F"/>
    <w:rsid w:val="0073233F"/>
    <w:rsid w:val="00732EED"/>
    <w:rsid w:val="0073320C"/>
    <w:rsid w:val="00733282"/>
    <w:rsid w:val="0073330B"/>
    <w:rsid w:val="007333BE"/>
    <w:rsid w:val="0073345C"/>
    <w:rsid w:val="00733A5C"/>
    <w:rsid w:val="007343DC"/>
    <w:rsid w:val="007345CA"/>
    <w:rsid w:val="007357B9"/>
    <w:rsid w:val="00735AAB"/>
    <w:rsid w:val="007361B3"/>
    <w:rsid w:val="00736AB6"/>
    <w:rsid w:val="00736D4D"/>
    <w:rsid w:val="00737147"/>
    <w:rsid w:val="00737BB0"/>
    <w:rsid w:val="00737ED3"/>
    <w:rsid w:val="00740504"/>
    <w:rsid w:val="007407B2"/>
    <w:rsid w:val="00740BBC"/>
    <w:rsid w:val="00740DE7"/>
    <w:rsid w:val="007420EC"/>
    <w:rsid w:val="007420F4"/>
    <w:rsid w:val="007423FC"/>
    <w:rsid w:val="007426D8"/>
    <w:rsid w:val="00742ECA"/>
    <w:rsid w:val="00742EFC"/>
    <w:rsid w:val="007437C4"/>
    <w:rsid w:val="00743B0E"/>
    <w:rsid w:val="00743D9C"/>
    <w:rsid w:val="00743F86"/>
    <w:rsid w:val="0074412D"/>
    <w:rsid w:val="00744137"/>
    <w:rsid w:val="007446F1"/>
    <w:rsid w:val="0074487A"/>
    <w:rsid w:val="007448A7"/>
    <w:rsid w:val="00744D7C"/>
    <w:rsid w:val="00744FAD"/>
    <w:rsid w:val="007458B7"/>
    <w:rsid w:val="007458D4"/>
    <w:rsid w:val="0074607B"/>
    <w:rsid w:val="007461FE"/>
    <w:rsid w:val="00746B04"/>
    <w:rsid w:val="00746C2C"/>
    <w:rsid w:val="007472AE"/>
    <w:rsid w:val="0075035D"/>
    <w:rsid w:val="0075159E"/>
    <w:rsid w:val="00751C14"/>
    <w:rsid w:val="007524C5"/>
    <w:rsid w:val="00752C87"/>
    <w:rsid w:val="00753DE8"/>
    <w:rsid w:val="00754139"/>
    <w:rsid w:val="007553D2"/>
    <w:rsid w:val="00755D60"/>
    <w:rsid w:val="00755E21"/>
    <w:rsid w:val="007562D0"/>
    <w:rsid w:val="00756642"/>
    <w:rsid w:val="0075695B"/>
    <w:rsid w:val="00756A39"/>
    <w:rsid w:val="00760458"/>
    <w:rsid w:val="00760AC5"/>
    <w:rsid w:val="00760F80"/>
    <w:rsid w:val="0076110F"/>
    <w:rsid w:val="007611B2"/>
    <w:rsid w:val="007611C7"/>
    <w:rsid w:val="00761A59"/>
    <w:rsid w:val="00761AFB"/>
    <w:rsid w:val="00763403"/>
    <w:rsid w:val="007636AE"/>
    <w:rsid w:val="0076399E"/>
    <w:rsid w:val="00763B40"/>
    <w:rsid w:val="00764663"/>
    <w:rsid w:val="00765046"/>
    <w:rsid w:val="00765422"/>
    <w:rsid w:val="00765842"/>
    <w:rsid w:val="0076645F"/>
    <w:rsid w:val="00766523"/>
    <w:rsid w:val="00766974"/>
    <w:rsid w:val="00767C7F"/>
    <w:rsid w:val="00770795"/>
    <w:rsid w:val="007708FF"/>
    <w:rsid w:val="007709A4"/>
    <w:rsid w:val="00770BAD"/>
    <w:rsid w:val="00770EAF"/>
    <w:rsid w:val="0077115C"/>
    <w:rsid w:val="00771FC6"/>
    <w:rsid w:val="00772387"/>
    <w:rsid w:val="00773C65"/>
    <w:rsid w:val="00773F79"/>
    <w:rsid w:val="00774015"/>
    <w:rsid w:val="0077457C"/>
    <w:rsid w:val="00775270"/>
    <w:rsid w:val="00775630"/>
    <w:rsid w:val="00775A61"/>
    <w:rsid w:val="00775E1D"/>
    <w:rsid w:val="0077602B"/>
    <w:rsid w:val="007775CD"/>
    <w:rsid w:val="00777853"/>
    <w:rsid w:val="00777933"/>
    <w:rsid w:val="00777B7F"/>
    <w:rsid w:val="0078020F"/>
    <w:rsid w:val="00780314"/>
    <w:rsid w:val="00780D24"/>
    <w:rsid w:val="00780F46"/>
    <w:rsid w:val="00781CFD"/>
    <w:rsid w:val="00782506"/>
    <w:rsid w:val="00782B21"/>
    <w:rsid w:val="00782F78"/>
    <w:rsid w:val="00783141"/>
    <w:rsid w:val="0078365B"/>
    <w:rsid w:val="00783799"/>
    <w:rsid w:val="00783881"/>
    <w:rsid w:val="00783DE9"/>
    <w:rsid w:val="00783DF6"/>
    <w:rsid w:val="00784D6F"/>
    <w:rsid w:val="00784DE5"/>
    <w:rsid w:val="00784FF8"/>
    <w:rsid w:val="00785961"/>
    <w:rsid w:val="00785DF9"/>
    <w:rsid w:val="00785FB0"/>
    <w:rsid w:val="007864C1"/>
    <w:rsid w:val="0078687C"/>
    <w:rsid w:val="00786A5E"/>
    <w:rsid w:val="00786CB5"/>
    <w:rsid w:val="007870F6"/>
    <w:rsid w:val="00787BBE"/>
    <w:rsid w:val="007908A3"/>
    <w:rsid w:val="00790D12"/>
    <w:rsid w:val="007913EF"/>
    <w:rsid w:val="00791635"/>
    <w:rsid w:val="0079228F"/>
    <w:rsid w:val="00792693"/>
    <w:rsid w:val="007930B5"/>
    <w:rsid w:val="007930E2"/>
    <w:rsid w:val="00793373"/>
    <w:rsid w:val="00793528"/>
    <w:rsid w:val="00793627"/>
    <w:rsid w:val="007943FD"/>
    <w:rsid w:val="00794458"/>
    <w:rsid w:val="00794770"/>
    <w:rsid w:val="007948DC"/>
    <w:rsid w:val="00794B44"/>
    <w:rsid w:val="00795898"/>
    <w:rsid w:val="0079626E"/>
    <w:rsid w:val="0079648C"/>
    <w:rsid w:val="00796D96"/>
    <w:rsid w:val="0079755C"/>
    <w:rsid w:val="007976ED"/>
    <w:rsid w:val="00797B83"/>
    <w:rsid w:val="00797D61"/>
    <w:rsid w:val="007A01E1"/>
    <w:rsid w:val="007A03BF"/>
    <w:rsid w:val="007A06EF"/>
    <w:rsid w:val="007A1367"/>
    <w:rsid w:val="007A13AA"/>
    <w:rsid w:val="007A1E7C"/>
    <w:rsid w:val="007A1FD5"/>
    <w:rsid w:val="007A21EF"/>
    <w:rsid w:val="007A2414"/>
    <w:rsid w:val="007A273E"/>
    <w:rsid w:val="007A2F6A"/>
    <w:rsid w:val="007A2FAA"/>
    <w:rsid w:val="007A3662"/>
    <w:rsid w:val="007A49F6"/>
    <w:rsid w:val="007A4A4F"/>
    <w:rsid w:val="007A5055"/>
    <w:rsid w:val="007A5EFA"/>
    <w:rsid w:val="007A5F09"/>
    <w:rsid w:val="007A7338"/>
    <w:rsid w:val="007A76E8"/>
    <w:rsid w:val="007A7CBC"/>
    <w:rsid w:val="007B0493"/>
    <w:rsid w:val="007B0542"/>
    <w:rsid w:val="007B0CA7"/>
    <w:rsid w:val="007B165C"/>
    <w:rsid w:val="007B16AA"/>
    <w:rsid w:val="007B1D3F"/>
    <w:rsid w:val="007B2227"/>
    <w:rsid w:val="007B227B"/>
    <w:rsid w:val="007B2A3C"/>
    <w:rsid w:val="007B2C64"/>
    <w:rsid w:val="007B31BC"/>
    <w:rsid w:val="007B35A2"/>
    <w:rsid w:val="007B3A9E"/>
    <w:rsid w:val="007B3B87"/>
    <w:rsid w:val="007B4589"/>
    <w:rsid w:val="007B482F"/>
    <w:rsid w:val="007B6575"/>
    <w:rsid w:val="007B6846"/>
    <w:rsid w:val="007B6BAD"/>
    <w:rsid w:val="007B6D36"/>
    <w:rsid w:val="007B6EC5"/>
    <w:rsid w:val="007B70BA"/>
    <w:rsid w:val="007B7111"/>
    <w:rsid w:val="007B75CD"/>
    <w:rsid w:val="007B7907"/>
    <w:rsid w:val="007B7AE7"/>
    <w:rsid w:val="007B7B38"/>
    <w:rsid w:val="007C0EBE"/>
    <w:rsid w:val="007C141F"/>
    <w:rsid w:val="007C144C"/>
    <w:rsid w:val="007C15A0"/>
    <w:rsid w:val="007C1B2E"/>
    <w:rsid w:val="007C1E7A"/>
    <w:rsid w:val="007C266D"/>
    <w:rsid w:val="007C28BB"/>
    <w:rsid w:val="007C2F68"/>
    <w:rsid w:val="007C2FD3"/>
    <w:rsid w:val="007C38C5"/>
    <w:rsid w:val="007C428E"/>
    <w:rsid w:val="007C4BCB"/>
    <w:rsid w:val="007C577E"/>
    <w:rsid w:val="007C5A76"/>
    <w:rsid w:val="007C5B0E"/>
    <w:rsid w:val="007C633B"/>
    <w:rsid w:val="007C6AFE"/>
    <w:rsid w:val="007C74E2"/>
    <w:rsid w:val="007C75C8"/>
    <w:rsid w:val="007C793C"/>
    <w:rsid w:val="007D014B"/>
    <w:rsid w:val="007D01D1"/>
    <w:rsid w:val="007D0387"/>
    <w:rsid w:val="007D122D"/>
    <w:rsid w:val="007D254A"/>
    <w:rsid w:val="007D2A87"/>
    <w:rsid w:val="007D2EC0"/>
    <w:rsid w:val="007D2F28"/>
    <w:rsid w:val="007D39B5"/>
    <w:rsid w:val="007D3D50"/>
    <w:rsid w:val="007D4560"/>
    <w:rsid w:val="007D4BC2"/>
    <w:rsid w:val="007D4BC5"/>
    <w:rsid w:val="007D5790"/>
    <w:rsid w:val="007D61CA"/>
    <w:rsid w:val="007D6479"/>
    <w:rsid w:val="007D692E"/>
    <w:rsid w:val="007D729A"/>
    <w:rsid w:val="007D7594"/>
    <w:rsid w:val="007D792B"/>
    <w:rsid w:val="007E078A"/>
    <w:rsid w:val="007E0C4B"/>
    <w:rsid w:val="007E1338"/>
    <w:rsid w:val="007E17F6"/>
    <w:rsid w:val="007E1DDC"/>
    <w:rsid w:val="007E205E"/>
    <w:rsid w:val="007E23ED"/>
    <w:rsid w:val="007E29B0"/>
    <w:rsid w:val="007E3390"/>
    <w:rsid w:val="007E416A"/>
    <w:rsid w:val="007E436E"/>
    <w:rsid w:val="007E453A"/>
    <w:rsid w:val="007E45B8"/>
    <w:rsid w:val="007E5B8C"/>
    <w:rsid w:val="007E5ECC"/>
    <w:rsid w:val="007E6128"/>
    <w:rsid w:val="007E68BA"/>
    <w:rsid w:val="007E71DB"/>
    <w:rsid w:val="007E75F8"/>
    <w:rsid w:val="007E7D12"/>
    <w:rsid w:val="007F0202"/>
    <w:rsid w:val="007F0A02"/>
    <w:rsid w:val="007F0B1E"/>
    <w:rsid w:val="007F0E1C"/>
    <w:rsid w:val="007F1869"/>
    <w:rsid w:val="007F3ADA"/>
    <w:rsid w:val="007F415C"/>
    <w:rsid w:val="007F46C1"/>
    <w:rsid w:val="007F4743"/>
    <w:rsid w:val="007F47C3"/>
    <w:rsid w:val="007F4D26"/>
    <w:rsid w:val="007F5344"/>
    <w:rsid w:val="007F551C"/>
    <w:rsid w:val="007F5676"/>
    <w:rsid w:val="007F65D8"/>
    <w:rsid w:val="007F6634"/>
    <w:rsid w:val="007F6A03"/>
    <w:rsid w:val="007F6C57"/>
    <w:rsid w:val="007F79EA"/>
    <w:rsid w:val="00800102"/>
    <w:rsid w:val="008009A7"/>
    <w:rsid w:val="00800AF6"/>
    <w:rsid w:val="00800B4D"/>
    <w:rsid w:val="00801E2D"/>
    <w:rsid w:val="00802D7E"/>
    <w:rsid w:val="0080347A"/>
    <w:rsid w:val="008039B2"/>
    <w:rsid w:val="00803B44"/>
    <w:rsid w:val="0080482D"/>
    <w:rsid w:val="00804B46"/>
    <w:rsid w:val="008058AC"/>
    <w:rsid w:val="00805D8E"/>
    <w:rsid w:val="00805E61"/>
    <w:rsid w:val="00805E9B"/>
    <w:rsid w:val="008063AE"/>
    <w:rsid w:val="008068FD"/>
    <w:rsid w:val="00806DFD"/>
    <w:rsid w:val="00807FAA"/>
    <w:rsid w:val="008111D3"/>
    <w:rsid w:val="008123DE"/>
    <w:rsid w:val="00812E5F"/>
    <w:rsid w:val="00813494"/>
    <w:rsid w:val="008137EF"/>
    <w:rsid w:val="008139C4"/>
    <w:rsid w:val="008145CF"/>
    <w:rsid w:val="00814DB1"/>
    <w:rsid w:val="00815124"/>
    <w:rsid w:val="008157CD"/>
    <w:rsid w:val="008157E1"/>
    <w:rsid w:val="00815EEE"/>
    <w:rsid w:val="0082091C"/>
    <w:rsid w:val="00820E84"/>
    <w:rsid w:val="00821095"/>
    <w:rsid w:val="00822EAD"/>
    <w:rsid w:val="00823204"/>
    <w:rsid w:val="0082344A"/>
    <w:rsid w:val="00823520"/>
    <w:rsid w:val="00823A99"/>
    <w:rsid w:val="0082411B"/>
    <w:rsid w:val="00826749"/>
    <w:rsid w:val="00826C8F"/>
    <w:rsid w:val="00826FFA"/>
    <w:rsid w:val="00827A93"/>
    <w:rsid w:val="008304DF"/>
    <w:rsid w:val="00831732"/>
    <w:rsid w:val="00831A2A"/>
    <w:rsid w:val="00831B40"/>
    <w:rsid w:val="00832535"/>
    <w:rsid w:val="00832E86"/>
    <w:rsid w:val="0083302B"/>
    <w:rsid w:val="00833760"/>
    <w:rsid w:val="0083431F"/>
    <w:rsid w:val="00834A40"/>
    <w:rsid w:val="008350D9"/>
    <w:rsid w:val="00835100"/>
    <w:rsid w:val="008359CB"/>
    <w:rsid w:val="00835EA7"/>
    <w:rsid w:val="008360A2"/>
    <w:rsid w:val="008361A3"/>
    <w:rsid w:val="00837376"/>
    <w:rsid w:val="00837D67"/>
    <w:rsid w:val="008400DE"/>
    <w:rsid w:val="00840C21"/>
    <w:rsid w:val="00840F20"/>
    <w:rsid w:val="00841EA0"/>
    <w:rsid w:val="00842924"/>
    <w:rsid w:val="00842C4D"/>
    <w:rsid w:val="00842CB3"/>
    <w:rsid w:val="008431C8"/>
    <w:rsid w:val="00843309"/>
    <w:rsid w:val="0084470D"/>
    <w:rsid w:val="0084586D"/>
    <w:rsid w:val="008465FE"/>
    <w:rsid w:val="00846913"/>
    <w:rsid w:val="0084697B"/>
    <w:rsid w:val="00846AC1"/>
    <w:rsid w:val="00847CF4"/>
    <w:rsid w:val="00850EF3"/>
    <w:rsid w:val="00851F99"/>
    <w:rsid w:val="00852D16"/>
    <w:rsid w:val="00852DA7"/>
    <w:rsid w:val="00852E55"/>
    <w:rsid w:val="008530B1"/>
    <w:rsid w:val="008533FA"/>
    <w:rsid w:val="008537E0"/>
    <w:rsid w:val="00853C80"/>
    <w:rsid w:val="00854AC0"/>
    <w:rsid w:val="00854CFD"/>
    <w:rsid w:val="008550CD"/>
    <w:rsid w:val="008550F0"/>
    <w:rsid w:val="008552C0"/>
    <w:rsid w:val="008555CA"/>
    <w:rsid w:val="008561E1"/>
    <w:rsid w:val="00856C04"/>
    <w:rsid w:val="0085727B"/>
    <w:rsid w:val="008578F1"/>
    <w:rsid w:val="0086045E"/>
    <w:rsid w:val="008612D5"/>
    <w:rsid w:val="00861B68"/>
    <w:rsid w:val="00861DEC"/>
    <w:rsid w:val="00862245"/>
    <w:rsid w:val="0086247C"/>
    <w:rsid w:val="008624EB"/>
    <w:rsid w:val="00863088"/>
    <w:rsid w:val="008632CC"/>
    <w:rsid w:val="00865339"/>
    <w:rsid w:val="00865393"/>
    <w:rsid w:val="008655F6"/>
    <w:rsid w:val="008655FA"/>
    <w:rsid w:val="00865A33"/>
    <w:rsid w:val="008660E3"/>
    <w:rsid w:val="00866EC1"/>
    <w:rsid w:val="00867048"/>
    <w:rsid w:val="00867061"/>
    <w:rsid w:val="00867B65"/>
    <w:rsid w:val="00871412"/>
    <w:rsid w:val="00871A92"/>
    <w:rsid w:val="008721DB"/>
    <w:rsid w:val="0087239D"/>
    <w:rsid w:val="00872862"/>
    <w:rsid w:val="008729F6"/>
    <w:rsid w:val="00872D83"/>
    <w:rsid w:val="008739BC"/>
    <w:rsid w:val="00873D13"/>
    <w:rsid w:val="0087420D"/>
    <w:rsid w:val="008749AB"/>
    <w:rsid w:val="00874B69"/>
    <w:rsid w:val="00875250"/>
    <w:rsid w:val="008757B6"/>
    <w:rsid w:val="0087591F"/>
    <w:rsid w:val="00875A0E"/>
    <w:rsid w:val="00875CA2"/>
    <w:rsid w:val="00875E19"/>
    <w:rsid w:val="0087707C"/>
    <w:rsid w:val="00877A19"/>
    <w:rsid w:val="00877D50"/>
    <w:rsid w:val="00880D04"/>
    <w:rsid w:val="00881021"/>
    <w:rsid w:val="0088140E"/>
    <w:rsid w:val="0088141E"/>
    <w:rsid w:val="00881480"/>
    <w:rsid w:val="008817FA"/>
    <w:rsid w:val="0088208E"/>
    <w:rsid w:val="00882689"/>
    <w:rsid w:val="00882E19"/>
    <w:rsid w:val="008837C2"/>
    <w:rsid w:val="008838A9"/>
    <w:rsid w:val="00883A6C"/>
    <w:rsid w:val="008844A5"/>
    <w:rsid w:val="00884E11"/>
    <w:rsid w:val="008853BB"/>
    <w:rsid w:val="00886350"/>
    <w:rsid w:val="008867EF"/>
    <w:rsid w:val="008868D6"/>
    <w:rsid w:val="008876FF"/>
    <w:rsid w:val="00887785"/>
    <w:rsid w:val="0088791D"/>
    <w:rsid w:val="00887C18"/>
    <w:rsid w:val="00887C5B"/>
    <w:rsid w:val="00890FE4"/>
    <w:rsid w:val="0089260B"/>
    <w:rsid w:val="0089281D"/>
    <w:rsid w:val="00893411"/>
    <w:rsid w:val="008935DD"/>
    <w:rsid w:val="00893732"/>
    <w:rsid w:val="0089378B"/>
    <w:rsid w:val="00893AEE"/>
    <w:rsid w:val="008942E1"/>
    <w:rsid w:val="00894510"/>
    <w:rsid w:val="008945A2"/>
    <w:rsid w:val="00894BD5"/>
    <w:rsid w:val="00894C09"/>
    <w:rsid w:val="0089518B"/>
    <w:rsid w:val="00895691"/>
    <w:rsid w:val="00895870"/>
    <w:rsid w:val="00895BCB"/>
    <w:rsid w:val="00895E50"/>
    <w:rsid w:val="0089710E"/>
    <w:rsid w:val="008A01E1"/>
    <w:rsid w:val="008A03F5"/>
    <w:rsid w:val="008A0585"/>
    <w:rsid w:val="008A12CD"/>
    <w:rsid w:val="008A1565"/>
    <w:rsid w:val="008A1F5F"/>
    <w:rsid w:val="008A21EC"/>
    <w:rsid w:val="008A22EA"/>
    <w:rsid w:val="008A285D"/>
    <w:rsid w:val="008A30B9"/>
    <w:rsid w:val="008A30E9"/>
    <w:rsid w:val="008A3714"/>
    <w:rsid w:val="008A3A8D"/>
    <w:rsid w:val="008A3AD6"/>
    <w:rsid w:val="008A41CC"/>
    <w:rsid w:val="008A41D8"/>
    <w:rsid w:val="008A5A92"/>
    <w:rsid w:val="008A6AD6"/>
    <w:rsid w:val="008B044A"/>
    <w:rsid w:val="008B093C"/>
    <w:rsid w:val="008B0FE2"/>
    <w:rsid w:val="008B1068"/>
    <w:rsid w:val="008B140C"/>
    <w:rsid w:val="008B1537"/>
    <w:rsid w:val="008B1550"/>
    <w:rsid w:val="008B1B7E"/>
    <w:rsid w:val="008B1F93"/>
    <w:rsid w:val="008B2009"/>
    <w:rsid w:val="008B20F1"/>
    <w:rsid w:val="008B22B4"/>
    <w:rsid w:val="008B3797"/>
    <w:rsid w:val="008B3E74"/>
    <w:rsid w:val="008B41DC"/>
    <w:rsid w:val="008B44A3"/>
    <w:rsid w:val="008B5613"/>
    <w:rsid w:val="008B5874"/>
    <w:rsid w:val="008B5BE8"/>
    <w:rsid w:val="008B6237"/>
    <w:rsid w:val="008B64A3"/>
    <w:rsid w:val="008B6552"/>
    <w:rsid w:val="008B6AF7"/>
    <w:rsid w:val="008B71EE"/>
    <w:rsid w:val="008B7389"/>
    <w:rsid w:val="008B7881"/>
    <w:rsid w:val="008B7A7B"/>
    <w:rsid w:val="008B7C50"/>
    <w:rsid w:val="008B7E92"/>
    <w:rsid w:val="008B7FA1"/>
    <w:rsid w:val="008C120F"/>
    <w:rsid w:val="008C25BD"/>
    <w:rsid w:val="008C28EC"/>
    <w:rsid w:val="008C2D33"/>
    <w:rsid w:val="008C2DC6"/>
    <w:rsid w:val="008C3281"/>
    <w:rsid w:val="008C3640"/>
    <w:rsid w:val="008C442F"/>
    <w:rsid w:val="008C45D9"/>
    <w:rsid w:val="008C4746"/>
    <w:rsid w:val="008C4A31"/>
    <w:rsid w:val="008C4C6A"/>
    <w:rsid w:val="008C4E6D"/>
    <w:rsid w:val="008C574D"/>
    <w:rsid w:val="008C5E2E"/>
    <w:rsid w:val="008C5F19"/>
    <w:rsid w:val="008C69B6"/>
    <w:rsid w:val="008C72C3"/>
    <w:rsid w:val="008C7381"/>
    <w:rsid w:val="008C7F9D"/>
    <w:rsid w:val="008D08F9"/>
    <w:rsid w:val="008D0D54"/>
    <w:rsid w:val="008D1005"/>
    <w:rsid w:val="008D1605"/>
    <w:rsid w:val="008D16A4"/>
    <w:rsid w:val="008D29B9"/>
    <w:rsid w:val="008D2C44"/>
    <w:rsid w:val="008D2E11"/>
    <w:rsid w:val="008D3B99"/>
    <w:rsid w:val="008D43B8"/>
    <w:rsid w:val="008D4A18"/>
    <w:rsid w:val="008D4B79"/>
    <w:rsid w:val="008D4E12"/>
    <w:rsid w:val="008D5401"/>
    <w:rsid w:val="008D54C9"/>
    <w:rsid w:val="008D56C9"/>
    <w:rsid w:val="008D570D"/>
    <w:rsid w:val="008D57AE"/>
    <w:rsid w:val="008D637A"/>
    <w:rsid w:val="008D68AE"/>
    <w:rsid w:val="008D6943"/>
    <w:rsid w:val="008D6CF5"/>
    <w:rsid w:val="008D7087"/>
    <w:rsid w:val="008D78BC"/>
    <w:rsid w:val="008E0422"/>
    <w:rsid w:val="008E052B"/>
    <w:rsid w:val="008E1608"/>
    <w:rsid w:val="008E189E"/>
    <w:rsid w:val="008E216B"/>
    <w:rsid w:val="008E279D"/>
    <w:rsid w:val="008E27C7"/>
    <w:rsid w:val="008E2C4D"/>
    <w:rsid w:val="008E2C92"/>
    <w:rsid w:val="008E2E48"/>
    <w:rsid w:val="008E2E83"/>
    <w:rsid w:val="008E360F"/>
    <w:rsid w:val="008E3D2C"/>
    <w:rsid w:val="008E3DC4"/>
    <w:rsid w:val="008E5B5A"/>
    <w:rsid w:val="008E5CD3"/>
    <w:rsid w:val="008E6244"/>
    <w:rsid w:val="008E626D"/>
    <w:rsid w:val="008E66F6"/>
    <w:rsid w:val="008E7473"/>
    <w:rsid w:val="008E75B9"/>
    <w:rsid w:val="008E7805"/>
    <w:rsid w:val="008F004D"/>
    <w:rsid w:val="008F0303"/>
    <w:rsid w:val="008F08E6"/>
    <w:rsid w:val="008F0F34"/>
    <w:rsid w:val="008F18F7"/>
    <w:rsid w:val="008F22A1"/>
    <w:rsid w:val="008F2FB6"/>
    <w:rsid w:val="008F3390"/>
    <w:rsid w:val="008F33A9"/>
    <w:rsid w:val="008F3A30"/>
    <w:rsid w:val="008F3EFF"/>
    <w:rsid w:val="008F4B0C"/>
    <w:rsid w:val="008F4E8C"/>
    <w:rsid w:val="008F514D"/>
    <w:rsid w:val="008F52A9"/>
    <w:rsid w:val="008F5393"/>
    <w:rsid w:val="008F54A6"/>
    <w:rsid w:val="008F5C7D"/>
    <w:rsid w:val="008F5D71"/>
    <w:rsid w:val="008F5EB2"/>
    <w:rsid w:val="008F602A"/>
    <w:rsid w:val="008F64E7"/>
    <w:rsid w:val="008F6799"/>
    <w:rsid w:val="008F67CE"/>
    <w:rsid w:val="008F69D9"/>
    <w:rsid w:val="008F73FC"/>
    <w:rsid w:val="008F7829"/>
    <w:rsid w:val="008F7BA2"/>
    <w:rsid w:val="008F7F5E"/>
    <w:rsid w:val="009004E5"/>
    <w:rsid w:val="00900B1C"/>
    <w:rsid w:val="00900C60"/>
    <w:rsid w:val="009019E7"/>
    <w:rsid w:val="00901C8F"/>
    <w:rsid w:val="00902070"/>
    <w:rsid w:val="009023D5"/>
    <w:rsid w:val="00902453"/>
    <w:rsid w:val="00903022"/>
    <w:rsid w:val="00903D75"/>
    <w:rsid w:val="009040CB"/>
    <w:rsid w:val="00904184"/>
    <w:rsid w:val="009043F3"/>
    <w:rsid w:val="009049CA"/>
    <w:rsid w:val="00904F26"/>
    <w:rsid w:val="0090522E"/>
    <w:rsid w:val="00905860"/>
    <w:rsid w:val="00905868"/>
    <w:rsid w:val="00905E85"/>
    <w:rsid w:val="00906315"/>
    <w:rsid w:val="00906882"/>
    <w:rsid w:val="0090695E"/>
    <w:rsid w:val="00911AF1"/>
    <w:rsid w:val="00911DB0"/>
    <w:rsid w:val="0091233B"/>
    <w:rsid w:val="0091306F"/>
    <w:rsid w:val="009137CB"/>
    <w:rsid w:val="00913B80"/>
    <w:rsid w:val="00915B35"/>
    <w:rsid w:val="0091631F"/>
    <w:rsid w:val="00916699"/>
    <w:rsid w:val="00917161"/>
    <w:rsid w:val="0091727F"/>
    <w:rsid w:val="009172C3"/>
    <w:rsid w:val="009172CF"/>
    <w:rsid w:val="00920172"/>
    <w:rsid w:val="0092027B"/>
    <w:rsid w:val="009204A8"/>
    <w:rsid w:val="00921140"/>
    <w:rsid w:val="0092124C"/>
    <w:rsid w:val="009234E4"/>
    <w:rsid w:val="00923B12"/>
    <w:rsid w:val="00925679"/>
    <w:rsid w:val="00925F3C"/>
    <w:rsid w:val="00926288"/>
    <w:rsid w:val="00926F23"/>
    <w:rsid w:val="00927797"/>
    <w:rsid w:val="00930264"/>
    <w:rsid w:val="0093102A"/>
    <w:rsid w:val="009322F0"/>
    <w:rsid w:val="0093281D"/>
    <w:rsid w:val="00932B17"/>
    <w:rsid w:val="00932CF4"/>
    <w:rsid w:val="00933D3F"/>
    <w:rsid w:val="00934360"/>
    <w:rsid w:val="00934468"/>
    <w:rsid w:val="00934EB7"/>
    <w:rsid w:val="00937863"/>
    <w:rsid w:val="009379C3"/>
    <w:rsid w:val="00940410"/>
    <w:rsid w:val="0094041D"/>
    <w:rsid w:val="0094062C"/>
    <w:rsid w:val="00940762"/>
    <w:rsid w:val="009407DB"/>
    <w:rsid w:val="009411F4"/>
    <w:rsid w:val="0094174E"/>
    <w:rsid w:val="009424B0"/>
    <w:rsid w:val="00943297"/>
    <w:rsid w:val="00943B33"/>
    <w:rsid w:val="00943DED"/>
    <w:rsid w:val="009449D2"/>
    <w:rsid w:val="009449FB"/>
    <w:rsid w:val="009449FE"/>
    <w:rsid w:val="00944C1E"/>
    <w:rsid w:val="00944C45"/>
    <w:rsid w:val="00945165"/>
    <w:rsid w:val="0094520C"/>
    <w:rsid w:val="0094632F"/>
    <w:rsid w:val="00947134"/>
    <w:rsid w:val="009471D6"/>
    <w:rsid w:val="00947B27"/>
    <w:rsid w:val="009509D1"/>
    <w:rsid w:val="00950E88"/>
    <w:rsid w:val="009511E3"/>
    <w:rsid w:val="00951765"/>
    <w:rsid w:val="009517D4"/>
    <w:rsid w:val="00952AF6"/>
    <w:rsid w:val="00952E81"/>
    <w:rsid w:val="009530F0"/>
    <w:rsid w:val="00953AE6"/>
    <w:rsid w:val="00954571"/>
    <w:rsid w:val="00954D75"/>
    <w:rsid w:val="0095519E"/>
    <w:rsid w:val="00955502"/>
    <w:rsid w:val="00955D87"/>
    <w:rsid w:val="009568E8"/>
    <w:rsid w:val="00957331"/>
    <w:rsid w:val="0095757A"/>
    <w:rsid w:val="00957F5F"/>
    <w:rsid w:val="00960071"/>
    <w:rsid w:val="0096056D"/>
    <w:rsid w:val="00960645"/>
    <w:rsid w:val="00961532"/>
    <w:rsid w:val="00961591"/>
    <w:rsid w:val="0096167B"/>
    <w:rsid w:val="00961D9C"/>
    <w:rsid w:val="00961FB6"/>
    <w:rsid w:val="00962034"/>
    <w:rsid w:val="00962F31"/>
    <w:rsid w:val="00963274"/>
    <w:rsid w:val="00963946"/>
    <w:rsid w:val="00963DAC"/>
    <w:rsid w:val="009644AD"/>
    <w:rsid w:val="009644CC"/>
    <w:rsid w:val="00964DC7"/>
    <w:rsid w:val="00965034"/>
    <w:rsid w:val="0096521F"/>
    <w:rsid w:val="009652F3"/>
    <w:rsid w:val="0096579D"/>
    <w:rsid w:val="0096622D"/>
    <w:rsid w:val="00966DD6"/>
    <w:rsid w:val="00966F74"/>
    <w:rsid w:val="00967804"/>
    <w:rsid w:val="00967E26"/>
    <w:rsid w:val="0097061A"/>
    <w:rsid w:val="009708E1"/>
    <w:rsid w:val="00970BD3"/>
    <w:rsid w:val="00971449"/>
    <w:rsid w:val="00971B8A"/>
    <w:rsid w:val="0097234B"/>
    <w:rsid w:val="00972BDB"/>
    <w:rsid w:val="00972D42"/>
    <w:rsid w:val="009734C1"/>
    <w:rsid w:val="0097351D"/>
    <w:rsid w:val="00973BA7"/>
    <w:rsid w:val="009744F4"/>
    <w:rsid w:val="0097471A"/>
    <w:rsid w:val="00974DD8"/>
    <w:rsid w:val="009757BC"/>
    <w:rsid w:val="009762EE"/>
    <w:rsid w:val="0097712E"/>
    <w:rsid w:val="009804BB"/>
    <w:rsid w:val="00980B73"/>
    <w:rsid w:val="00980EDB"/>
    <w:rsid w:val="009812A7"/>
    <w:rsid w:val="00981381"/>
    <w:rsid w:val="00982508"/>
    <w:rsid w:val="00982ADF"/>
    <w:rsid w:val="00983649"/>
    <w:rsid w:val="00983E51"/>
    <w:rsid w:val="0098416C"/>
    <w:rsid w:val="009844C6"/>
    <w:rsid w:val="00985A80"/>
    <w:rsid w:val="00985BEA"/>
    <w:rsid w:val="00985F05"/>
    <w:rsid w:val="009860F7"/>
    <w:rsid w:val="0098627D"/>
    <w:rsid w:val="00990247"/>
    <w:rsid w:val="0099093F"/>
    <w:rsid w:val="00991199"/>
    <w:rsid w:val="00991CBF"/>
    <w:rsid w:val="00991FDE"/>
    <w:rsid w:val="0099220E"/>
    <w:rsid w:val="00992A2C"/>
    <w:rsid w:val="00992D8F"/>
    <w:rsid w:val="009939FE"/>
    <w:rsid w:val="00993B8A"/>
    <w:rsid w:val="00994193"/>
    <w:rsid w:val="00995B95"/>
    <w:rsid w:val="009960A1"/>
    <w:rsid w:val="00996167"/>
    <w:rsid w:val="00996761"/>
    <w:rsid w:val="00997092"/>
    <w:rsid w:val="00997D99"/>
    <w:rsid w:val="009A0ECF"/>
    <w:rsid w:val="009A0F80"/>
    <w:rsid w:val="009A10EC"/>
    <w:rsid w:val="009A211D"/>
    <w:rsid w:val="009A2586"/>
    <w:rsid w:val="009A2E42"/>
    <w:rsid w:val="009A2EC6"/>
    <w:rsid w:val="009A36A2"/>
    <w:rsid w:val="009A3FE1"/>
    <w:rsid w:val="009A4053"/>
    <w:rsid w:val="009A4717"/>
    <w:rsid w:val="009A4C55"/>
    <w:rsid w:val="009A5B6D"/>
    <w:rsid w:val="009A5E03"/>
    <w:rsid w:val="009A6191"/>
    <w:rsid w:val="009A65C7"/>
    <w:rsid w:val="009A66DF"/>
    <w:rsid w:val="009A6845"/>
    <w:rsid w:val="009A6C8A"/>
    <w:rsid w:val="009A7058"/>
    <w:rsid w:val="009A79E1"/>
    <w:rsid w:val="009A7BBA"/>
    <w:rsid w:val="009B014E"/>
    <w:rsid w:val="009B053B"/>
    <w:rsid w:val="009B062C"/>
    <w:rsid w:val="009B0FB7"/>
    <w:rsid w:val="009B1626"/>
    <w:rsid w:val="009B2272"/>
    <w:rsid w:val="009B278A"/>
    <w:rsid w:val="009B2EF8"/>
    <w:rsid w:val="009B422E"/>
    <w:rsid w:val="009B4549"/>
    <w:rsid w:val="009B49C8"/>
    <w:rsid w:val="009B56D7"/>
    <w:rsid w:val="009B5B63"/>
    <w:rsid w:val="009B68B6"/>
    <w:rsid w:val="009B7278"/>
    <w:rsid w:val="009B7BCA"/>
    <w:rsid w:val="009C0606"/>
    <w:rsid w:val="009C0C59"/>
    <w:rsid w:val="009C14EB"/>
    <w:rsid w:val="009C1678"/>
    <w:rsid w:val="009C1F5A"/>
    <w:rsid w:val="009C3627"/>
    <w:rsid w:val="009C364E"/>
    <w:rsid w:val="009C4894"/>
    <w:rsid w:val="009C4977"/>
    <w:rsid w:val="009C49B0"/>
    <w:rsid w:val="009C49C0"/>
    <w:rsid w:val="009C49EE"/>
    <w:rsid w:val="009C52D6"/>
    <w:rsid w:val="009C6C87"/>
    <w:rsid w:val="009C75FE"/>
    <w:rsid w:val="009C78EB"/>
    <w:rsid w:val="009C7948"/>
    <w:rsid w:val="009D22AF"/>
    <w:rsid w:val="009D25CA"/>
    <w:rsid w:val="009D307A"/>
    <w:rsid w:val="009D35A6"/>
    <w:rsid w:val="009D3641"/>
    <w:rsid w:val="009D47CF"/>
    <w:rsid w:val="009D4998"/>
    <w:rsid w:val="009D7253"/>
    <w:rsid w:val="009D731D"/>
    <w:rsid w:val="009D7BAD"/>
    <w:rsid w:val="009D7F8B"/>
    <w:rsid w:val="009E0E86"/>
    <w:rsid w:val="009E1BCB"/>
    <w:rsid w:val="009E1E9D"/>
    <w:rsid w:val="009E2174"/>
    <w:rsid w:val="009E3135"/>
    <w:rsid w:val="009E39E6"/>
    <w:rsid w:val="009E40E9"/>
    <w:rsid w:val="009E498F"/>
    <w:rsid w:val="009E4C25"/>
    <w:rsid w:val="009E4E8F"/>
    <w:rsid w:val="009E58CB"/>
    <w:rsid w:val="009E5D34"/>
    <w:rsid w:val="009E5E99"/>
    <w:rsid w:val="009E5FD2"/>
    <w:rsid w:val="009E612D"/>
    <w:rsid w:val="009E61F4"/>
    <w:rsid w:val="009E63CE"/>
    <w:rsid w:val="009E6D66"/>
    <w:rsid w:val="009E6F56"/>
    <w:rsid w:val="009E70D0"/>
    <w:rsid w:val="009E7CEC"/>
    <w:rsid w:val="009E7D5F"/>
    <w:rsid w:val="009F02D0"/>
    <w:rsid w:val="009F0539"/>
    <w:rsid w:val="009F0744"/>
    <w:rsid w:val="009F0CFF"/>
    <w:rsid w:val="009F0D7B"/>
    <w:rsid w:val="009F100F"/>
    <w:rsid w:val="009F166B"/>
    <w:rsid w:val="009F19CD"/>
    <w:rsid w:val="009F1F75"/>
    <w:rsid w:val="009F204C"/>
    <w:rsid w:val="009F2243"/>
    <w:rsid w:val="009F2518"/>
    <w:rsid w:val="009F2D7C"/>
    <w:rsid w:val="009F2F3D"/>
    <w:rsid w:val="009F3287"/>
    <w:rsid w:val="009F3F14"/>
    <w:rsid w:val="009F462F"/>
    <w:rsid w:val="009F488E"/>
    <w:rsid w:val="009F4D10"/>
    <w:rsid w:val="009F4DB7"/>
    <w:rsid w:val="009F5073"/>
    <w:rsid w:val="009F50F2"/>
    <w:rsid w:val="009F525A"/>
    <w:rsid w:val="009F5B77"/>
    <w:rsid w:val="009F6A00"/>
    <w:rsid w:val="009F6ABF"/>
    <w:rsid w:val="009F758A"/>
    <w:rsid w:val="009F7C7E"/>
    <w:rsid w:val="00A008AB"/>
    <w:rsid w:val="00A009AF"/>
    <w:rsid w:val="00A00A7F"/>
    <w:rsid w:val="00A010D2"/>
    <w:rsid w:val="00A014A6"/>
    <w:rsid w:val="00A025F4"/>
    <w:rsid w:val="00A0279F"/>
    <w:rsid w:val="00A02B7A"/>
    <w:rsid w:val="00A02FA2"/>
    <w:rsid w:val="00A046A0"/>
    <w:rsid w:val="00A0483D"/>
    <w:rsid w:val="00A04A42"/>
    <w:rsid w:val="00A05E7B"/>
    <w:rsid w:val="00A06225"/>
    <w:rsid w:val="00A065E7"/>
    <w:rsid w:val="00A067FE"/>
    <w:rsid w:val="00A06CAE"/>
    <w:rsid w:val="00A06E5F"/>
    <w:rsid w:val="00A071B3"/>
    <w:rsid w:val="00A07327"/>
    <w:rsid w:val="00A1032B"/>
    <w:rsid w:val="00A10469"/>
    <w:rsid w:val="00A104E4"/>
    <w:rsid w:val="00A10C2D"/>
    <w:rsid w:val="00A10E36"/>
    <w:rsid w:val="00A1143D"/>
    <w:rsid w:val="00A11616"/>
    <w:rsid w:val="00A11879"/>
    <w:rsid w:val="00A11CB2"/>
    <w:rsid w:val="00A129DE"/>
    <w:rsid w:val="00A131C1"/>
    <w:rsid w:val="00A13620"/>
    <w:rsid w:val="00A13B65"/>
    <w:rsid w:val="00A140AA"/>
    <w:rsid w:val="00A1417F"/>
    <w:rsid w:val="00A144EC"/>
    <w:rsid w:val="00A1458E"/>
    <w:rsid w:val="00A147ED"/>
    <w:rsid w:val="00A14B46"/>
    <w:rsid w:val="00A14BC8"/>
    <w:rsid w:val="00A14BFC"/>
    <w:rsid w:val="00A1596A"/>
    <w:rsid w:val="00A15A47"/>
    <w:rsid w:val="00A15EE7"/>
    <w:rsid w:val="00A16486"/>
    <w:rsid w:val="00A1674C"/>
    <w:rsid w:val="00A16ACE"/>
    <w:rsid w:val="00A172FA"/>
    <w:rsid w:val="00A179D4"/>
    <w:rsid w:val="00A17B9B"/>
    <w:rsid w:val="00A17F49"/>
    <w:rsid w:val="00A20650"/>
    <w:rsid w:val="00A20755"/>
    <w:rsid w:val="00A2093C"/>
    <w:rsid w:val="00A210C1"/>
    <w:rsid w:val="00A212C1"/>
    <w:rsid w:val="00A21682"/>
    <w:rsid w:val="00A21D19"/>
    <w:rsid w:val="00A21E5D"/>
    <w:rsid w:val="00A21FD1"/>
    <w:rsid w:val="00A22235"/>
    <w:rsid w:val="00A227E9"/>
    <w:rsid w:val="00A229FC"/>
    <w:rsid w:val="00A229FD"/>
    <w:rsid w:val="00A22D05"/>
    <w:rsid w:val="00A22EB2"/>
    <w:rsid w:val="00A23BA0"/>
    <w:rsid w:val="00A23D14"/>
    <w:rsid w:val="00A24200"/>
    <w:rsid w:val="00A2435E"/>
    <w:rsid w:val="00A24959"/>
    <w:rsid w:val="00A24FB8"/>
    <w:rsid w:val="00A2538E"/>
    <w:rsid w:val="00A25508"/>
    <w:rsid w:val="00A25892"/>
    <w:rsid w:val="00A260ED"/>
    <w:rsid w:val="00A271CD"/>
    <w:rsid w:val="00A27B6C"/>
    <w:rsid w:val="00A3109B"/>
    <w:rsid w:val="00A31B29"/>
    <w:rsid w:val="00A31BCE"/>
    <w:rsid w:val="00A31DC5"/>
    <w:rsid w:val="00A31EDB"/>
    <w:rsid w:val="00A3242A"/>
    <w:rsid w:val="00A32734"/>
    <w:rsid w:val="00A33CC1"/>
    <w:rsid w:val="00A33EF2"/>
    <w:rsid w:val="00A34236"/>
    <w:rsid w:val="00A349CF"/>
    <w:rsid w:val="00A34FB6"/>
    <w:rsid w:val="00A34FBB"/>
    <w:rsid w:val="00A35237"/>
    <w:rsid w:val="00A359A1"/>
    <w:rsid w:val="00A368FD"/>
    <w:rsid w:val="00A36CE8"/>
    <w:rsid w:val="00A37147"/>
    <w:rsid w:val="00A37843"/>
    <w:rsid w:val="00A37B70"/>
    <w:rsid w:val="00A37C63"/>
    <w:rsid w:val="00A4060F"/>
    <w:rsid w:val="00A406F3"/>
    <w:rsid w:val="00A41013"/>
    <w:rsid w:val="00A4101C"/>
    <w:rsid w:val="00A4289C"/>
    <w:rsid w:val="00A433FC"/>
    <w:rsid w:val="00A43771"/>
    <w:rsid w:val="00A4464A"/>
    <w:rsid w:val="00A4543D"/>
    <w:rsid w:val="00A45608"/>
    <w:rsid w:val="00A457F8"/>
    <w:rsid w:val="00A45C93"/>
    <w:rsid w:val="00A46375"/>
    <w:rsid w:val="00A4665F"/>
    <w:rsid w:val="00A472EE"/>
    <w:rsid w:val="00A4739D"/>
    <w:rsid w:val="00A47CF7"/>
    <w:rsid w:val="00A50153"/>
    <w:rsid w:val="00A5058B"/>
    <w:rsid w:val="00A50A3C"/>
    <w:rsid w:val="00A50C5E"/>
    <w:rsid w:val="00A51C3F"/>
    <w:rsid w:val="00A51E62"/>
    <w:rsid w:val="00A521AA"/>
    <w:rsid w:val="00A52A8F"/>
    <w:rsid w:val="00A535E3"/>
    <w:rsid w:val="00A53777"/>
    <w:rsid w:val="00A564FE"/>
    <w:rsid w:val="00A5719C"/>
    <w:rsid w:val="00A573FD"/>
    <w:rsid w:val="00A57EBA"/>
    <w:rsid w:val="00A603A3"/>
    <w:rsid w:val="00A60471"/>
    <w:rsid w:val="00A60F1F"/>
    <w:rsid w:val="00A61484"/>
    <w:rsid w:val="00A6157C"/>
    <w:rsid w:val="00A6227F"/>
    <w:rsid w:val="00A63459"/>
    <w:rsid w:val="00A639A7"/>
    <w:rsid w:val="00A6428B"/>
    <w:rsid w:val="00A64A45"/>
    <w:rsid w:val="00A64B2E"/>
    <w:rsid w:val="00A650CD"/>
    <w:rsid w:val="00A656ED"/>
    <w:rsid w:val="00A65D1E"/>
    <w:rsid w:val="00A674FD"/>
    <w:rsid w:val="00A67BBF"/>
    <w:rsid w:val="00A70271"/>
    <w:rsid w:val="00A70BF2"/>
    <w:rsid w:val="00A71072"/>
    <w:rsid w:val="00A71890"/>
    <w:rsid w:val="00A71B56"/>
    <w:rsid w:val="00A71ECC"/>
    <w:rsid w:val="00A72172"/>
    <w:rsid w:val="00A72560"/>
    <w:rsid w:val="00A72811"/>
    <w:rsid w:val="00A7293F"/>
    <w:rsid w:val="00A729FD"/>
    <w:rsid w:val="00A72BDA"/>
    <w:rsid w:val="00A72D0B"/>
    <w:rsid w:val="00A72DB6"/>
    <w:rsid w:val="00A73492"/>
    <w:rsid w:val="00A742E3"/>
    <w:rsid w:val="00A7449B"/>
    <w:rsid w:val="00A7465F"/>
    <w:rsid w:val="00A74678"/>
    <w:rsid w:val="00A746C2"/>
    <w:rsid w:val="00A74C8A"/>
    <w:rsid w:val="00A74F8E"/>
    <w:rsid w:val="00A751FC"/>
    <w:rsid w:val="00A756D0"/>
    <w:rsid w:val="00A75B86"/>
    <w:rsid w:val="00A77525"/>
    <w:rsid w:val="00A77A8B"/>
    <w:rsid w:val="00A77DD7"/>
    <w:rsid w:val="00A77EA9"/>
    <w:rsid w:val="00A800F1"/>
    <w:rsid w:val="00A80C52"/>
    <w:rsid w:val="00A814A2"/>
    <w:rsid w:val="00A81714"/>
    <w:rsid w:val="00A826E0"/>
    <w:rsid w:val="00A828A2"/>
    <w:rsid w:val="00A82DBF"/>
    <w:rsid w:val="00A83011"/>
    <w:rsid w:val="00A83172"/>
    <w:rsid w:val="00A83497"/>
    <w:rsid w:val="00A83561"/>
    <w:rsid w:val="00A8423F"/>
    <w:rsid w:val="00A853BD"/>
    <w:rsid w:val="00A8561A"/>
    <w:rsid w:val="00A8568D"/>
    <w:rsid w:val="00A85EBE"/>
    <w:rsid w:val="00A86C69"/>
    <w:rsid w:val="00A86E91"/>
    <w:rsid w:val="00A87015"/>
    <w:rsid w:val="00A870F5"/>
    <w:rsid w:val="00A8713F"/>
    <w:rsid w:val="00A87829"/>
    <w:rsid w:val="00A90258"/>
    <w:rsid w:val="00A9037C"/>
    <w:rsid w:val="00A90467"/>
    <w:rsid w:val="00A90760"/>
    <w:rsid w:val="00A90E8A"/>
    <w:rsid w:val="00A91441"/>
    <w:rsid w:val="00A9170A"/>
    <w:rsid w:val="00A9183A"/>
    <w:rsid w:val="00A91B45"/>
    <w:rsid w:val="00A91E42"/>
    <w:rsid w:val="00A92594"/>
    <w:rsid w:val="00A92AD9"/>
    <w:rsid w:val="00A92E37"/>
    <w:rsid w:val="00A941F9"/>
    <w:rsid w:val="00A943E0"/>
    <w:rsid w:val="00A945F0"/>
    <w:rsid w:val="00A94706"/>
    <w:rsid w:val="00A94EFF"/>
    <w:rsid w:val="00A9507F"/>
    <w:rsid w:val="00A950B3"/>
    <w:rsid w:val="00A95829"/>
    <w:rsid w:val="00A95AB7"/>
    <w:rsid w:val="00A95B50"/>
    <w:rsid w:val="00A95E07"/>
    <w:rsid w:val="00A963BE"/>
    <w:rsid w:val="00A96498"/>
    <w:rsid w:val="00A96804"/>
    <w:rsid w:val="00A96A76"/>
    <w:rsid w:val="00A971C2"/>
    <w:rsid w:val="00A97499"/>
    <w:rsid w:val="00A97CC6"/>
    <w:rsid w:val="00AA020A"/>
    <w:rsid w:val="00AA182C"/>
    <w:rsid w:val="00AA1C02"/>
    <w:rsid w:val="00AA2AAB"/>
    <w:rsid w:val="00AA2FF9"/>
    <w:rsid w:val="00AA3475"/>
    <w:rsid w:val="00AA37A8"/>
    <w:rsid w:val="00AA3B06"/>
    <w:rsid w:val="00AA3B4D"/>
    <w:rsid w:val="00AA3D35"/>
    <w:rsid w:val="00AA45FF"/>
    <w:rsid w:val="00AA4C26"/>
    <w:rsid w:val="00AA4FE1"/>
    <w:rsid w:val="00AA5147"/>
    <w:rsid w:val="00AA5694"/>
    <w:rsid w:val="00AA6311"/>
    <w:rsid w:val="00AA6350"/>
    <w:rsid w:val="00AA6865"/>
    <w:rsid w:val="00AA7149"/>
    <w:rsid w:val="00AA780C"/>
    <w:rsid w:val="00AA7CAA"/>
    <w:rsid w:val="00AB028E"/>
    <w:rsid w:val="00AB065F"/>
    <w:rsid w:val="00AB068F"/>
    <w:rsid w:val="00AB0943"/>
    <w:rsid w:val="00AB121E"/>
    <w:rsid w:val="00AB1A30"/>
    <w:rsid w:val="00AB2671"/>
    <w:rsid w:val="00AB2C46"/>
    <w:rsid w:val="00AB2E1A"/>
    <w:rsid w:val="00AB34AA"/>
    <w:rsid w:val="00AB362C"/>
    <w:rsid w:val="00AB3D9C"/>
    <w:rsid w:val="00AB4015"/>
    <w:rsid w:val="00AB4A5F"/>
    <w:rsid w:val="00AB4AF2"/>
    <w:rsid w:val="00AB5022"/>
    <w:rsid w:val="00AB52BA"/>
    <w:rsid w:val="00AB56C3"/>
    <w:rsid w:val="00AB5E38"/>
    <w:rsid w:val="00AB6089"/>
    <w:rsid w:val="00AB65B7"/>
    <w:rsid w:val="00AB6DF5"/>
    <w:rsid w:val="00AB715A"/>
    <w:rsid w:val="00AB7884"/>
    <w:rsid w:val="00AB78D8"/>
    <w:rsid w:val="00AB7B28"/>
    <w:rsid w:val="00AC010C"/>
    <w:rsid w:val="00AC069F"/>
    <w:rsid w:val="00AC07C7"/>
    <w:rsid w:val="00AC1389"/>
    <w:rsid w:val="00AC17C0"/>
    <w:rsid w:val="00AC1966"/>
    <w:rsid w:val="00AC1A50"/>
    <w:rsid w:val="00AC1F26"/>
    <w:rsid w:val="00AC288D"/>
    <w:rsid w:val="00AC3366"/>
    <w:rsid w:val="00AC3DD4"/>
    <w:rsid w:val="00AC45D8"/>
    <w:rsid w:val="00AC52F7"/>
    <w:rsid w:val="00AC609C"/>
    <w:rsid w:val="00AC6676"/>
    <w:rsid w:val="00AC6DC0"/>
    <w:rsid w:val="00AC6E44"/>
    <w:rsid w:val="00AC7522"/>
    <w:rsid w:val="00AC799E"/>
    <w:rsid w:val="00AC7E5A"/>
    <w:rsid w:val="00AD122C"/>
    <w:rsid w:val="00AD1344"/>
    <w:rsid w:val="00AD1349"/>
    <w:rsid w:val="00AD26FC"/>
    <w:rsid w:val="00AD279D"/>
    <w:rsid w:val="00AD2DEA"/>
    <w:rsid w:val="00AD3264"/>
    <w:rsid w:val="00AD3284"/>
    <w:rsid w:val="00AD49D3"/>
    <w:rsid w:val="00AD5834"/>
    <w:rsid w:val="00AD6349"/>
    <w:rsid w:val="00AD6618"/>
    <w:rsid w:val="00AD6D63"/>
    <w:rsid w:val="00AD7163"/>
    <w:rsid w:val="00AD760D"/>
    <w:rsid w:val="00AD7B05"/>
    <w:rsid w:val="00AD7BE8"/>
    <w:rsid w:val="00AD7E1D"/>
    <w:rsid w:val="00AD7E9C"/>
    <w:rsid w:val="00AE025D"/>
    <w:rsid w:val="00AE0391"/>
    <w:rsid w:val="00AE0EE6"/>
    <w:rsid w:val="00AE14A8"/>
    <w:rsid w:val="00AE17EE"/>
    <w:rsid w:val="00AE1FE5"/>
    <w:rsid w:val="00AE2E09"/>
    <w:rsid w:val="00AE2E67"/>
    <w:rsid w:val="00AE31F8"/>
    <w:rsid w:val="00AE3C79"/>
    <w:rsid w:val="00AE4453"/>
    <w:rsid w:val="00AE486E"/>
    <w:rsid w:val="00AE50E3"/>
    <w:rsid w:val="00AE5466"/>
    <w:rsid w:val="00AE5EE1"/>
    <w:rsid w:val="00AE6573"/>
    <w:rsid w:val="00AE659A"/>
    <w:rsid w:val="00AE6F70"/>
    <w:rsid w:val="00AE7431"/>
    <w:rsid w:val="00AE7950"/>
    <w:rsid w:val="00AE7EAE"/>
    <w:rsid w:val="00AF0402"/>
    <w:rsid w:val="00AF0577"/>
    <w:rsid w:val="00AF0751"/>
    <w:rsid w:val="00AF07AC"/>
    <w:rsid w:val="00AF08AF"/>
    <w:rsid w:val="00AF1787"/>
    <w:rsid w:val="00AF1CEF"/>
    <w:rsid w:val="00AF1EF9"/>
    <w:rsid w:val="00AF25C1"/>
    <w:rsid w:val="00AF3487"/>
    <w:rsid w:val="00AF3B7B"/>
    <w:rsid w:val="00AF40BD"/>
    <w:rsid w:val="00AF4180"/>
    <w:rsid w:val="00AF4301"/>
    <w:rsid w:val="00AF47FD"/>
    <w:rsid w:val="00AF4B91"/>
    <w:rsid w:val="00AF5647"/>
    <w:rsid w:val="00AF59E2"/>
    <w:rsid w:val="00AF61EE"/>
    <w:rsid w:val="00AF6342"/>
    <w:rsid w:val="00AF639D"/>
    <w:rsid w:val="00AF6BDE"/>
    <w:rsid w:val="00AF6E11"/>
    <w:rsid w:val="00AF7BB3"/>
    <w:rsid w:val="00B006E1"/>
    <w:rsid w:val="00B00BD1"/>
    <w:rsid w:val="00B0107C"/>
    <w:rsid w:val="00B01DE9"/>
    <w:rsid w:val="00B020CC"/>
    <w:rsid w:val="00B021BB"/>
    <w:rsid w:val="00B02AA8"/>
    <w:rsid w:val="00B02CFF"/>
    <w:rsid w:val="00B02DAF"/>
    <w:rsid w:val="00B04660"/>
    <w:rsid w:val="00B04F69"/>
    <w:rsid w:val="00B052D4"/>
    <w:rsid w:val="00B0534E"/>
    <w:rsid w:val="00B06646"/>
    <w:rsid w:val="00B07217"/>
    <w:rsid w:val="00B074E2"/>
    <w:rsid w:val="00B07E4F"/>
    <w:rsid w:val="00B10EBC"/>
    <w:rsid w:val="00B11E24"/>
    <w:rsid w:val="00B123F7"/>
    <w:rsid w:val="00B12412"/>
    <w:rsid w:val="00B130D6"/>
    <w:rsid w:val="00B144BE"/>
    <w:rsid w:val="00B145C8"/>
    <w:rsid w:val="00B14ACB"/>
    <w:rsid w:val="00B14C13"/>
    <w:rsid w:val="00B153D0"/>
    <w:rsid w:val="00B16109"/>
    <w:rsid w:val="00B16279"/>
    <w:rsid w:val="00B16552"/>
    <w:rsid w:val="00B169AF"/>
    <w:rsid w:val="00B1703A"/>
    <w:rsid w:val="00B170C6"/>
    <w:rsid w:val="00B17A1E"/>
    <w:rsid w:val="00B20E6C"/>
    <w:rsid w:val="00B21DA3"/>
    <w:rsid w:val="00B236AA"/>
    <w:rsid w:val="00B2398A"/>
    <w:rsid w:val="00B23E48"/>
    <w:rsid w:val="00B24018"/>
    <w:rsid w:val="00B2418A"/>
    <w:rsid w:val="00B24378"/>
    <w:rsid w:val="00B24690"/>
    <w:rsid w:val="00B247E5"/>
    <w:rsid w:val="00B254A1"/>
    <w:rsid w:val="00B25645"/>
    <w:rsid w:val="00B25E37"/>
    <w:rsid w:val="00B25ED0"/>
    <w:rsid w:val="00B2647D"/>
    <w:rsid w:val="00B26688"/>
    <w:rsid w:val="00B26769"/>
    <w:rsid w:val="00B26874"/>
    <w:rsid w:val="00B26AA0"/>
    <w:rsid w:val="00B26AE3"/>
    <w:rsid w:val="00B27010"/>
    <w:rsid w:val="00B270B8"/>
    <w:rsid w:val="00B27161"/>
    <w:rsid w:val="00B27ADB"/>
    <w:rsid w:val="00B27C50"/>
    <w:rsid w:val="00B30EF5"/>
    <w:rsid w:val="00B311F5"/>
    <w:rsid w:val="00B31B4F"/>
    <w:rsid w:val="00B3214C"/>
    <w:rsid w:val="00B32654"/>
    <w:rsid w:val="00B32942"/>
    <w:rsid w:val="00B32A46"/>
    <w:rsid w:val="00B338EE"/>
    <w:rsid w:val="00B34032"/>
    <w:rsid w:val="00B34622"/>
    <w:rsid w:val="00B34E6A"/>
    <w:rsid w:val="00B35CCC"/>
    <w:rsid w:val="00B36439"/>
    <w:rsid w:val="00B36516"/>
    <w:rsid w:val="00B3686A"/>
    <w:rsid w:val="00B36A60"/>
    <w:rsid w:val="00B37056"/>
    <w:rsid w:val="00B37D15"/>
    <w:rsid w:val="00B4063F"/>
    <w:rsid w:val="00B4096A"/>
    <w:rsid w:val="00B40F87"/>
    <w:rsid w:val="00B419DB"/>
    <w:rsid w:val="00B4278F"/>
    <w:rsid w:val="00B42A02"/>
    <w:rsid w:val="00B42A1C"/>
    <w:rsid w:val="00B42DB6"/>
    <w:rsid w:val="00B43029"/>
    <w:rsid w:val="00B434B4"/>
    <w:rsid w:val="00B437CC"/>
    <w:rsid w:val="00B439DE"/>
    <w:rsid w:val="00B43AD8"/>
    <w:rsid w:val="00B43AED"/>
    <w:rsid w:val="00B44412"/>
    <w:rsid w:val="00B445FC"/>
    <w:rsid w:val="00B446BB"/>
    <w:rsid w:val="00B45A0C"/>
    <w:rsid w:val="00B45E30"/>
    <w:rsid w:val="00B4641E"/>
    <w:rsid w:val="00B464E7"/>
    <w:rsid w:val="00B46AC0"/>
    <w:rsid w:val="00B46C68"/>
    <w:rsid w:val="00B47222"/>
    <w:rsid w:val="00B475B4"/>
    <w:rsid w:val="00B50C3B"/>
    <w:rsid w:val="00B51964"/>
    <w:rsid w:val="00B52207"/>
    <w:rsid w:val="00B5255A"/>
    <w:rsid w:val="00B5304E"/>
    <w:rsid w:val="00B5343D"/>
    <w:rsid w:val="00B5389E"/>
    <w:rsid w:val="00B53B12"/>
    <w:rsid w:val="00B53E39"/>
    <w:rsid w:val="00B540EF"/>
    <w:rsid w:val="00B542BA"/>
    <w:rsid w:val="00B54520"/>
    <w:rsid w:val="00B5458D"/>
    <w:rsid w:val="00B54708"/>
    <w:rsid w:val="00B54EF8"/>
    <w:rsid w:val="00B552F5"/>
    <w:rsid w:val="00B5593D"/>
    <w:rsid w:val="00B55CFE"/>
    <w:rsid w:val="00B55F80"/>
    <w:rsid w:val="00B565C5"/>
    <w:rsid w:val="00B56A2D"/>
    <w:rsid w:val="00B56AE3"/>
    <w:rsid w:val="00B571AE"/>
    <w:rsid w:val="00B5748C"/>
    <w:rsid w:val="00B57509"/>
    <w:rsid w:val="00B57710"/>
    <w:rsid w:val="00B57C37"/>
    <w:rsid w:val="00B60285"/>
    <w:rsid w:val="00B60A56"/>
    <w:rsid w:val="00B60B55"/>
    <w:rsid w:val="00B60F01"/>
    <w:rsid w:val="00B61203"/>
    <w:rsid w:val="00B6268A"/>
    <w:rsid w:val="00B626F5"/>
    <w:rsid w:val="00B62DF8"/>
    <w:rsid w:val="00B630A0"/>
    <w:rsid w:val="00B631BF"/>
    <w:rsid w:val="00B6347A"/>
    <w:rsid w:val="00B63817"/>
    <w:rsid w:val="00B640A7"/>
    <w:rsid w:val="00B64BF5"/>
    <w:rsid w:val="00B64C23"/>
    <w:rsid w:val="00B64EF8"/>
    <w:rsid w:val="00B65020"/>
    <w:rsid w:val="00B65035"/>
    <w:rsid w:val="00B65C88"/>
    <w:rsid w:val="00B65D91"/>
    <w:rsid w:val="00B6600D"/>
    <w:rsid w:val="00B662A0"/>
    <w:rsid w:val="00B67087"/>
    <w:rsid w:val="00B67CD7"/>
    <w:rsid w:val="00B7083C"/>
    <w:rsid w:val="00B70F02"/>
    <w:rsid w:val="00B7103A"/>
    <w:rsid w:val="00B7122D"/>
    <w:rsid w:val="00B712B0"/>
    <w:rsid w:val="00B71772"/>
    <w:rsid w:val="00B723A1"/>
    <w:rsid w:val="00B72B03"/>
    <w:rsid w:val="00B72FA3"/>
    <w:rsid w:val="00B73178"/>
    <w:rsid w:val="00B74735"/>
    <w:rsid w:val="00B74D44"/>
    <w:rsid w:val="00B7577D"/>
    <w:rsid w:val="00B758E8"/>
    <w:rsid w:val="00B7593C"/>
    <w:rsid w:val="00B7624F"/>
    <w:rsid w:val="00B767AE"/>
    <w:rsid w:val="00B76EDB"/>
    <w:rsid w:val="00B77AC0"/>
    <w:rsid w:val="00B77D74"/>
    <w:rsid w:val="00B8074A"/>
    <w:rsid w:val="00B811BA"/>
    <w:rsid w:val="00B815B9"/>
    <w:rsid w:val="00B82257"/>
    <w:rsid w:val="00B82A14"/>
    <w:rsid w:val="00B82C97"/>
    <w:rsid w:val="00B82E12"/>
    <w:rsid w:val="00B82F67"/>
    <w:rsid w:val="00B8300F"/>
    <w:rsid w:val="00B8311B"/>
    <w:rsid w:val="00B83709"/>
    <w:rsid w:val="00B84948"/>
    <w:rsid w:val="00B849D2"/>
    <w:rsid w:val="00B84F55"/>
    <w:rsid w:val="00B8510D"/>
    <w:rsid w:val="00B85AF6"/>
    <w:rsid w:val="00B85CF2"/>
    <w:rsid w:val="00B86BED"/>
    <w:rsid w:val="00B90073"/>
    <w:rsid w:val="00B90298"/>
    <w:rsid w:val="00B90303"/>
    <w:rsid w:val="00B90D0A"/>
    <w:rsid w:val="00B90E55"/>
    <w:rsid w:val="00B9120E"/>
    <w:rsid w:val="00B9130F"/>
    <w:rsid w:val="00B920DE"/>
    <w:rsid w:val="00B92364"/>
    <w:rsid w:val="00B9281F"/>
    <w:rsid w:val="00B92987"/>
    <w:rsid w:val="00B92B03"/>
    <w:rsid w:val="00B93A8B"/>
    <w:rsid w:val="00B93BC9"/>
    <w:rsid w:val="00B953F5"/>
    <w:rsid w:val="00B95801"/>
    <w:rsid w:val="00B9612E"/>
    <w:rsid w:val="00B961DA"/>
    <w:rsid w:val="00B9636E"/>
    <w:rsid w:val="00B96567"/>
    <w:rsid w:val="00B966B9"/>
    <w:rsid w:val="00B975BF"/>
    <w:rsid w:val="00B97617"/>
    <w:rsid w:val="00B9763F"/>
    <w:rsid w:val="00B97B37"/>
    <w:rsid w:val="00B97E4F"/>
    <w:rsid w:val="00BA0093"/>
    <w:rsid w:val="00BA0181"/>
    <w:rsid w:val="00BA0614"/>
    <w:rsid w:val="00BA1982"/>
    <w:rsid w:val="00BA22B3"/>
    <w:rsid w:val="00BA2459"/>
    <w:rsid w:val="00BA2F3D"/>
    <w:rsid w:val="00BA37F1"/>
    <w:rsid w:val="00BA4356"/>
    <w:rsid w:val="00BA4750"/>
    <w:rsid w:val="00BA4B3D"/>
    <w:rsid w:val="00BA60CF"/>
    <w:rsid w:val="00BA64D0"/>
    <w:rsid w:val="00BA6849"/>
    <w:rsid w:val="00BA69A9"/>
    <w:rsid w:val="00BA6CCA"/>
    <w:rsid w:val="00BA6DC7"/>
    <w:rsid w:val="00BA74AC"/>
    <w:rsid w:val="00BA76C5"/>
    <w:rsid w:val="00BA77A1"/>
    <w:rsid w:val="00BA7AC0"/>
    <w:rsid w:val="00BA7DD3"/>
    <w:rsid w:val="00BB0B88"/>
    <w:rsid w:val="00BB0BE9"/>
    <w:rsid w:val="00BB0F5C"/>
    <w:rsid w:val="00BB2743"/>
    <w:rsid w:val="00BB2A6F"/>
    <w:rsid w:val="00BB2AA1"/>
    <w:rsid w:val="00BB3299"/>
    <w:rsid w:val="00BB3933"/>
    <w:rsid w:val="00BB39BC"/>
    <w:rsid w:val="00BB3B85"/>
    <w:rsid w:val="00BB42E2"/>
    <w:rsid w:val="00BB4D1E"/>
    <w:rsid w:val="00BB5158"/>
    <w:rsid w:val="00BB5194"/>
    <w:rsid w:val="00BB55D0"/>
    <w:rsid w:val="00BB5D3C"/>
    <w:rsid w:val="00BB5E06"/>
    <w:rsid w:val="00BB6409"/>
    <w:rsid w:val="00BB687C"/>
    <w:rsid w:val="00BB6A8A"/>
    <w:rsid w:val="00BB6B4E"/>
    <w:rsid w:val="00BB6DAE"/>
    <w:rsid w:val="00BB7075"/>
    <w:rsid w:val="00BB7B8C"/>
    <w:rsid w:val="00BB7D7B"/>
    <w:rsid w:val="00BB7ED5"/>
    <w:rsid w:val="00BB7FFB"/>
    <w:rsid w:val="00BC008F"/>
    <w:rsid w:val="00BC0177"/>
    <w:rsid w:val="00BC0455"/>
    <w:rsid w:val="00BC0584"/>
    <w:rsid w:val="00BC05E1"/>
    <w:rsid w:val="00BC0848"/>
    <w:rsid w:val="00BC0F39"/>
    <w:rsid w:val="00BC16D5"/>
    <w:rsid w:val="00BC288C"/>
    <w:rsid w:val="00BC2B63"/>
    <w:rsid w:val="00BC2CB6"/>
    <w:rsid w:val="00BC45F1"/>
    <w:rsid w:val="00BC496A"/>
    <w:rsid w:val="00BC49C3"/>
    <w:rsid w:val="00BC4AD0"/>
    <w:rsid w:val="00BC4F44"/>
    <w:rsid w:val="00BC59E0"/>
    <w:rsid w:val="00BC604F"/>
    <w:rsid w:val="00BC62D1"/>
    <w:rsid w:val="00BC743B"/>
    <w:rsid w:val="00BC7B62"/>
    <w:rsid w:val="00BC7DC1"/>
    <w:rsid w:val="00BD03AC"/>
    <w:rsid w:val="00BD05BD"/>
    <w:rsid w:val="00BD0992"/>
    <w:rsid w:val="00BD0AE3"/>
    <w:rsid w:val="00BD0B6A"/>
    <w:rsid w:val="00BD1557"/>
    <w:rsid w:val="00BD2009"/>
    <w:rsid w:val="00BD202F"/>
    <w:rsid w:val="00BD21F3"/>
    <w:rsid w:val="00BD2403"/>
    <w:rsid w:val="00BD256C"/>
    <w:rsid w:val="00BD2769"/>
    <w:rsid w:val="00BD29D8"/>
    <w:rsid w:val="00BD42AB"/>
    <w:rsid w:val="00BD42F4"/>
    <w:rsid w:val="00BD444B"/>
    <w:rsid w:val="00BD464B"/>
    <w:rsid w:val="00BD6B4F"/>
    <w:rsid w:val="00BD6E6E"/>
    <w:rsid w:val="00BD713E"/>
    <w:rsid w:val="00BD79D2"/>
    <w:rsid w:val="00BD7FAD"/>
    <w:rsid w:val="00BE1546"/>
    <w:rsid w:val="00BE2036"/>
    <w:rsid w:val="00BE2679"/>
    <w:rsid w:val="00BE2959"/>
    <w:rsid w:val="00BE2C42"/>
    <w:rsid w:val="00BE2E81"/>
    <w:rsid w:val="00BE30C3"/>
    <w:rsid w:val="00BE3129"/>
    <w:rsid w:val="00BE3266"/>
    <w:rsid w:val="00BE3EA1"/>
    <w:rsid w:val="00BE42B6"/>
    <w:rsid w:val="00BE4575"/>
    <w:rsid w:val="00BE4781"/>
    <w:rsid w:val="00BE5822"/>
    <w:rsid w:val="00BE59B2"/>
    <w:rsid w:val="00BE5C40"/>
    <w:rsid w:val="00BE670B"/>
    <w:rsid w:val="00BE6A38"/>
    <w:rsid w:val="00BE6AD5"/>
    <w:rsid w:val="00BE6AE6"/>
    <w:rsid w:val="00BE6BD9"/>
    <w:rsid w:val="00BE6F3D"/>
    <w:rsid w:val="00BE72B5"/>
    <w:rsid w:val="00BE7A1B"/>
    <w:rsid w:val="00BE7EAB"/>
    <w:rsid w:val="00BF0254"/>
    <w:rsid w:val="00BF0419"/>
    <w:rsid w:val="00BF06F9"/>
    <w:rsid w:val="00BF12EE"/>
    <w:rsid w:val="00BF148D"/>
    <w:rsid w:val="00BF21AD"/>
    <w:rsid w:val="00BF2450"/>
    <w:rsid w:val="00BF2C43"/>
    <w:rsid w:val="00BF2DD4"/>
    <w:rsid w:val="00BF31EA"/>
    <w:rsid w:val="00BF4D6A"/>
    <w:rsid w:val="00BF4F5A"/>
    <w:rsid w:val="00BF559C"/>
    <w:rsid w:val="00BF57FB"/>
    <w:rsid w:val="00BF585F"/>
    <w:rsid w:val="00BF5E6B"/>
    <w:rsid w:val="00BF5F0D"/>
    <w:rsid w:val="00BF5F97"/>
    <w:rsid w:val="00BF63F7"/>
    <w:rsid w:val="00BF7171"/>
    <w:rsid w:val="00BF7234"/>
    <w:rsid w:val="00BF7C09"/>
    <w:rsid w:val="00C0050D"/>
    <w:rsid w:val="00C00BFF"/>
    <w:rsid w:val="00C01795"/>
    <w:rsid w:val="00C02202"/>
    <w:rsid w:val="00C02607"/>
    <w:rsid w:val="00C02E1B"/>
    <w:rsid w:val="00C03313"/>
    <w:rsid w:val="00C0468E"/>
    <w:rsid w:val="00C055D0"/>
    <w:rsid w:val="00C0561D"/>
    <w:rsid w:val="00C0568D"/>
    <w:rsid w:val="00C06423"/>
    <w:rsid w:val="00C064B1"/>
    <w:rsid w:val="00C06953"/>
    <w:rsid w:val="00C069DA"/>
    <w:rsid w:val="00C069F3"/>
    <w:rsid w:val="00C07A8D"/>
    <w:rsid w:val="00C106EE"/>
    <w:rsid w:val="00C10B83"/>
    <w:rsid w:val="00C10DD6"/>
    <w:rsid w:val="00C1307D"/>
    <w:rsid w:val="00C14427"/>
    <w:rsid w:val="00C14CB8"/>
    <w:rsid w:val="00C14D25"/>
    <w:rsid w:val="00C15E5A"/>
    <w:rsid w:val="00C15F9B"/>
    <w:rsid w:val="00C163E3"/>
    <w:rsid w:val="00C16573"/>
    <w:rsid w:val="00C16A95"/>
    <w:rsid w:val="00C171AB"/>
    <w:rsid w:val="00C17984"/>
    <w:rsid w:val="00C17D1D"/>
    <w:rsid w:val="00C17DCB"/>
    <w:rsid w:val="00C17E5B"/>
    <w:rsid w:val="00C20CCC"/>
    <w:rsid w:val="00C20E5F"/>
    <w:rsid w:val="00C222F2"/>
    <w:rsid w:val="00C226BB"/>
    <w:rsid w:val="00C230CB"/>
    <w:rsid w:val="00C23DB1"/>
    <w:rsid w:val="00C23F42"/>
    <w:rsid w:val="00C240F1"/>
    <w:rsid w:val="00C248B9"/>
    <w:rsid w:val="00C2572F"/>
    <w:rsid w:val="00C257FB"/>
    <w:rsid w:val="00C2595A"/>
    <w:rsid w:val="00C25EE4"/>
    <w:rsid w:val="00C26B07"/>
    <w:rsid w:val="00C26E83"/>
    <w:rsid w:val="00C271CF"/>
    <w:rsid w:val="00C30B1A"/>
    <w:rsid w:val="00C30E62"/>
    <w:rsid w:val="00C30F6A"/>
    <w:rsid w:val="00C327A5"/>
    <w:rsid w:val="00C3292A"/>
    <w:rsid w:val="00C32A18"/>
    <w:rsid w:val="00C32C5F"/>
    <w:rsid w:val="00C32E50"/>
    <w:rsid w:val="00C33408"/>
    <w:rsid w:val="00C3374C"/>
    <w:rsid w:val="00C33859"/>
    <w:rsid w:val="00C33A49"/>
    <w:rsid w:val="00C33A7E"/>
    <w:rsid w:val="00C34226"/>
    <w:rsid w:val="00C34962"/>
    <w:rsid w:val="00C34C04"/>
    <w:rsid w:val="00C356B2"/>
    <w:rsid w:val="00C35765"/>
    <w:rsid w:val="00C35F77"/>
    <w:rsid w:val="00C37116"/>
    <w:rsid w:val="00C3711B"/>
    <w:rsid w:val="00C3754C"/>
    <w:rsid w:val="00C37C4A"/>
    <w:rsid w:val="00C37EF3"/>
    <w:rsid w:val="00C40666"/>
    <w:rsid w:val="00C408EE"/>
    <w:rsid w:val="00C40AF4"/>
    <w:rsid w:val="00C40C2F"/>
    <w:rsid w:val="00C4123F"/>
    <w:rsid w:val="00C4146E"/>
    <w:rsid w:val="00C41B02"/>
    <w:rsid w:val="00C41BE1"/>
    <w:rsid w:val="00C4331F"/>
    <w:rsid w:val="00C45C09"/>
    <w:rsid w:val="00C46372"/>
    <w:rsid w:val="00C47C63"/>
    <w:rsid w:val="00C50075"/>
    <w:rsid w:val="00C509B2"/>
    <w:rsid w:val="00C5127B"/>
    <w:rsid w:val="00C517BF"/>
    <w:rsid w:val="00C51FB7"/>
    <w:rsid w:val="00C522BB"/>
    <w:rsid w:val="00C525AA"/>
    <w:rsid w:val="00C52BA1"/>
    <w:rsid w:val="00C538AE"/>
    <w:rsid w:val="00C538FF"/>
    <w:rsid w:val="00C53C63"/>
    <w:rsid w:val="00C54076"/>
    <w:rsid w:val="00C54DE0"/>
    <w:rsid w:val="00C5577C"/>
    <w:rsid w:val="00C56D75"/>
    <w:rsid w:val="00C56EF0"/>
    <w:rsid w:val="00C576B3"/>
    <w:rsid w:val="00C602CB"/>
    <w:rsid w:val="00C60903"/>
    <w:rsid w:val="00C609C4"/>
    <w:rsid w:val="00C6147F"/>
    <w:rsid w:val="00C628BD"/>
    <w:rsid w:val="00C62B3B"/>
    <w:rsid w:val="00C63552"/>
    <w:rsid w:val="00C638C1"/>
    <w:rsid w:val="00C642C3"/>
    <w:rsid w:val="00C64977"/>
    <w:rsid w:val="00C64D8A"/>
    <w:rsid w:val="00C64E63"/>
    <w:rsid w:val="00C65797"/>
    <w:rsid w:val="00C65C96"/>
    <w:rsid w:val="00C661C0"/>
    <w:rsid w:val="00C67156"/>
    <w:rsid w:val="00C6717F"/>
    <w:rsid w:val="00C6729F"/>
    <w:rsid w:val="00C67402"/>
    <w:rsid w:val="00C6754F"/>
    <w:rsid w:val="00C67DB0"/>
    <w:rsid w:val="00C67E34"/>
    <w:rsid w:val="00C67EA2"/>
    <w:rsid w:val="00C70A85"/>
    <w:rsid w:val="00C70C76"/>
    <w:rsid w:val="00C70EEC"/>
    <w:rsid w:val="00C70F91"/>
    <w:rsid w:val="00C71547"/>
    <w:rsid w:val="00C71625"/>
    <w:rsid w:val="00C71CCF"/>
    <w:rsid w:val="00C71E67"/>
    <w:rsid w:val="00C72020"/>
    <w:rsid w:val="00C7215F"/>
    <w:rsid w:val="00C7258C"/>
    <w:rsid w:val="00C72BC0"/>
    <w:rsid w:val="00C72CD8"/>
    <w:rsid w:val="00C73E48"/>
    <w:rsid w:val="00C74143"/>
    <w:rsid w:val="00C74744"/>
    <w:rsid w:val="00C7481B"/>
    <w:rsid w:val="00C74ACF"/>
    <w:rsid w:val="00C74B61"/>
    <w:rsid w:val="00C74E9F"/>
    <w:rsid w:val="00C751D9"/>
    <w:rsid w:val="00C767C9"/>
    <w:rsid w:val="00C7690C"/>
    <w:rsid w:val="00C77D75"/>
    <w:rsid w:val="00C77E20"/>
    <w:rsid w:val="00C804D0"/>
    <w:rsid w:val="00C8140A"/>
    <w:rsid w:val="00C823C0"/>
    <w:rsid w:val="00C825A3"/>
    <w:rsid w:val="00C8308D"/>
    <w:rsid w:val="00C835A3"/>
    <w:rsid w:val="00C841DA"/>
    <w:rsid w:val="00C8506F"/>
    <w:rsid w:val="00C8579D"/>
    <w:rsid w:val="00C857A1"/>
    <w:rsid w:val="00C8650A"/>
    <w:rsid w:val="00C8659F"/>
    <w:rsid w:val="00C86950"/>
    <w:rsid w:val="00C87B80"/>
    <w:rsid w:val="00C902AE"/>
    <w:rsid w:val="00C910C2"/>
    <w:rsid w:val="00C91B57"/>
    <w:rsid w:val="00C91E56"/>
    <w:rsid w:val="00C9363B"/>
    <w:rsid w:val="00C9364B"/>
    <w:rsid w:val="00C93D92"/>
    <w:rsid w:val="00C93DE7"/>
    <w:rsid w:val="00C93FA4"/>
    <w:rsid w:val="00C94A5F"/>
    <w:rsid w:val="00C953F6"/>
    <w:rsid w:val="00C95A13"/>
    <w:rsid w:val="00C95C65"/>
    <w:rsid w:val="00C97321"/>
    <w:rsid w:val="00CA0274"/>
    <w:rsid w:val="00CA03B7"/>
    <w:rsid w:val="00CA0ADE"/>
    <w:rsid w:val="00CA11F5"/>
    <w:rsid w:val="00CA132A"/>
    <w:rsid w:val="00CA18B9"/>
    <w:rsid w:val="00CA1D26"/>
    <w:rsid w:val="00CA2BDF"/>
    <w:rsid w:val="00CA2DB1"/>
    <w:rsid w:val="00CA323D"/>
    <w:rsid w:val="00CA37C8"/>
    <w:rsid w:val="00CA3905"/>
    <w:rsid w:val="00CA406E"/>
    <w:rsid w:val="00CA48D1"/>
    <w:rsid w:val="00CA64B6"/>
    <w:rsid w:val="00CB1066"/>
    <w:rsid w:val="00CB1459"/>
    <w:rsid w:val="00CB15F6"/>
    <w:rsid w:val="00CB1C20"/>
    <w:rsid w:val="00CB2332"/>
    <w:rsid w:val="00CB30F6"/>
    <w:rsid w:val="00CB46D9"/>
    <w:rsid w:val="00CB498B"/>
    <w:rsid w:val="00CB621D"/>
    <w:rsid w:val="00CB6783"/>
    <w:rsid w:val="00CB6E17"/>
    <w:rsid w:val="00CB750F"/>
    <w:rsid w:val="00CC0040"/>
    <w:rsid w:val="00CC162F"/>
    <w:rsid w:val="00CC1FE0"/>
    <w:rsid w:val="00CC31C9"/>
    <w:rsid w:val="00CC3A56"/>
    <w:rsid w:val="00CC3C46"/>
    <w:rsid w:val="00CC3C71"/>
    <w:rsid w:val="00CC3ED5"/>
    <w:rsid w:val="00CC3F97"/>
    <w:rsid w:val="00CC40D9"/>
    <w:rsid w:val="00CC40E6"/>
    <w:rsid w:val="00CC42E5"/>
    <w:rsid w:val="00CC4574"/>
    <w:rsid w:val="00CC48AA"/>
    <w:rsid w:val="00CC4E44"/>
    <w:rsid w:val="00CC512C"/>
    <w:rsid w:val="00CC57B5"/>
    <w:rsid w:val="00CC5B47"/>
    <w:rsid w:val="00CC5F58"/>
    <w:rsid w:val="00CC6923"/>
    <w:rsid w:val="00CC6C72"/>
    <w:rsid w:val="00CC709C"/>
    <w:rsid w:val="00CC79C1"/>
    <w:rsid w:val="00CC7F9A"/>
    <w:rsid w:val="00CC7FEA"/>
    <w:rsid w:val="00CD017E"/>
    <w:rsid w:val="00CD0263"/>
    <w:rsid w:val="00CD06C5"/>
    <w:rsid w:val="00CD0B21"/>
    <w:rsid w:val="00CD1ADD"/>
    <w:rsid w:val="00CD1C83"/>
    <w:rsid w:val="00CD28EB"/>
    <w:rsid w:val="00CD33DC"/>
    <w:rsid w:val="00CD375C"/>
    <w:rsid w:val="00CD378B"/>
    <w:rsid w:val="00CD3E46"/>
    <w:rsid w:val="00CD417E"/>
    <w:rsid w:val="00CD43C3"/>
    <w:rsid w:val="00CD4590"/>
    <w:rsid w:val="00CD4671"/>
    <w:rsid w:val="00CD47E3"/>
    <w:rsid w:val="00CD52E3"/>
    <w:rsid w:val="00CD561D"/>
    <w:rsid w:val="00CD6270"/>
    <w:rsid w:val="00CD62E7"/>
    <w:rsid w:val="00CD669F"/>
    <w:rsid w:val="00CD66EE"/>
    <w:rsid w:val="00CD74C9"/>
    <w:rsid w:val="00CE0592"/>
    <w:rsid w:val="00CE07E3"/>
    <w:rsid w:val="00CE0F28"/>
    <w:rsid w:val="00CE1593"/>
    <w:rsid w:val="00CE269B"/>
    <w:rsid w:val="00CE2BF3"/>
    <w:rsid w:val="00CE2C17"/>
    <w:rsid w:val="00CE3016"/>
    <w:rsid w:val="00CE3501"/>
    <w:rsid w:val="00CE3B91"/>
    <w:rsid w:val="00CE3EBB"/>
    <w:rsid w:val="00CE4731"/>
    <w:rsid w:val="00CE4A08"/>
    <w:rsid w:val="00CE4CF9"/>
    <w:rsid w:val="00CE5187"/>
    <w:rsid w:val="00CE537A"/>
    <w:rsid w:val="00CE54B9"/>
    <w:rsid w:val="00CE5BA3"/>
    <w:rsid w:val="00CE60A7"/>
    <w:rsid w:val="00CE6195"/>
    <w:rsid w:val="00CE6706"/>
    <w:rsid w:val="00CE702F"/>
    <w:rsid w:val="00CE73E1"/>
    <w:rsid w:val="00CE7F00"/>
    <w:rsid w:val="00CF02E5"/>
    <w:rsid w:val="00CF0421"/>
    <w:rsid w:val="00CF06B1"/>
    <w:rsid w:val="00CF0915"/>
    <w:rsid w:val="00CF10A0"/>
    <w:rsid w:val="00CF11EE"/>
    <w:rsid w:val="00CF1FBF"/>
    <w:rsid w:val="00CF2A25"/>
    <w:rsid w:val="00CF2D1D"/>
    <w:rsid w:val="00CF3349"/>
    <w:rsid w:val="00CF3AEB"/>
    <w:rsid w:val="00CF3C7B"/>
    <w:rsid w:val="00CF3C7D"/>
    <w:rsid w:val="00CF4155"/>
    <w:rsid w:val="00CF44DB"/>
    <w:rsid w:val="00CF48E3"/>
    <w:rsid w:val="00CF5233"/>
    <w:rsid w:val="00CF57F7"/>
    <w:rsid w:val="00CF5B6E"/>
    <w:rsid w:val="00CF5D9F"/>
    <w:rsid w:val="00CF5ECF"/>
    <w:rsid w:val="00CF633A"/>
    <w:rsid w:val="00CF7552"/>
    <w:rsid w:val="00CF7B86"/>
    <w:rsid w:val="00CF7D9B"/>
    <w:rsid w:val="00D00148"/>
    <w:rsid w:val="00D003E2"/>
    <w:rsid w:val="00D00477"/>
    <w:rsid w:val="00D0114A"/>
    <w:rsid w:val="00D0114D"/>
    <w:rsid w:val="00D01E65"/>
    <w:rsid w:val="00D022AD"/>
    <w:rsid w:val="00D02B6E"/>
    <w:rsid w:val="00D0340E"/>
    <w:rsid w:val="00D043A5"/>
    <w:rsid w:val="00D043C0"/>
    <w:rsid w:val="00D0577A"/>
    <w:rsid w:val="00D0589D"/>
    <w:rsid w:val="00D05BB7"/>
    <w:rsid w:val="00D06D7A"/>
    <w:rsid w:val="00D06E84"/>
    <w:rsid w:val="00D07B26"/>
    <w:rsid w:val="00D10DDB"/>
    <w:rsid w:val="00D11779"/>
    <w:rsid w:val="00D119DD"/>
    <w:rsid w:val="00D11BF6"/>
    <w:rsid w:val="00D12EEC"/>
    <w:rsid w:val="00D13E4E"/>
    <w:rsid w:val="00D14233"/>
    <w:rsid w:val="00D154ED"/>
    <w:rsid w:val="00D157B8"/>
    <w:rsid w:val="00D15B34"/>
    <w:rsid w:val="00D17C7D"/>
    <w:rsid w:val="00D17E5F"/>
    <w:rsid w:val="00D20100"/>
    <w:rsid w:val="00D20306"/>
    <w:rsid w:val="00D20697"/>
    <w:rsid w:val="00D20B2A"/>
    <w:rsid w:val="00D20BEE"/>
    <w:rsid w:val="00D2137D"/>
    <w:rsid w:val="00D21865"/>
    <w:rsid w:val="00D22EFA"/>
    <w:rsid w:val="00D23108"/>
    <w:rsid w:val="00D2313D"/>
    <w:rsid w:val="00D23A84"/>
    <w:rsid w:val="00D24231"/>
    <w:rsid w:val="00D242BF"/>
    <w:rsid w:val="00D24CBD"/>
    <w:rsid w:val="00D24CDF"/>
    <w:rsid w:val="00D25277"/>
    <w:rsid w:val="00D25ADF"/>
    <w:rsid w:val="00D26193"/>
    <w:rsid w:val="00D264CA"/>
    <w:rsid w:val="00D26B19"/>
    <w:rsid w:val="00D26F2A"/>
    <w:rsid w:val="00D275CF"/>
    <w:rsid w:val="00D27DC1"/>
    <w:rsid w:val="00D27E69"/>
    <w:rsid w:val="00D3047A"/>
    <w:rsid w:val="00D30843"/>
    <w:rsid w:val="00D30D13"/>
    <w:rsid w:val="00D31083"/>
    <w:rsid w:val="00D31677"/>
    <w:rsid w:val="00D323A3"/>
    <w:rsid w:val="00D32C99"/>
    <w:rsid w:val="00D333A2"/>
    <w:rsid w:val="00D335C4"/>
    <w:rsid w:val="00D33C69"/>
    <w:rsid w:val="00D33C9A"/>
    <w:rsid w:val="00D33FAC"/>
    <w:rsid w:val="00D3424F"/>
    <w:rsid w:val="00D34368"/>
    <w:rsid w:val="00D35F46"/>
    <w:rsid w:val="00D363E8"/>
    <w:rsid w:val="00D36482"/>
    <w:rsid w:val="00D3714C"/>
    <w:rsid w:val="00D375B5"/>
    <w:rsid w:val="00D378F7"/>
    <w:rsid w:val="00D40913"/>
    <w:rsid w:val="00D40B28"/>
    <w:rsid w:val="00D41421"/>
    <w:rsid w:val="00D41579"/>
    <w:rsid w:val="00D415A3"/>
    <w:rsid w:val="00D41996"/>
    <w:rsid w:val="00D41F22"/>
    <w:rsid w:val="00D42272"/>
    <w:rsid w:val="00D4262D"/>
    <w:rsid w:val="00D42E65"/>
    <w:rsid w:val="00D443B0"/>
    <w:rsid w:val="00D44973"/>
    <w:rsid w:val="00D44C99"/>
    <w:rsid w:val="00D44D33"/>
    <w:rsid w:val="00D44EAA"/>
    <w:rsid w:val="00D4552E"/>
    <w:rsid w:val="00D45844"/>
    <w:rsid w:val="00D45DEE"/>
    <w:rsid w:val="00D46287"/>
    <w:rsid w:val="00D47B39"/>
    <w:rsid w:val="00D47CCE"/>
    <w:rsid w:val="00D50A33"/>
    <w:rsid w:val="00D51406"/>
    <w:rsid w:val="00D5159D"/>
    <w:rsid w:val="00D51C9F"/>
    <w:rsid w:val="00D52522"/>
    <w:rsid w:val="00D5278B"/>
    <w:rsid w:val="00D53183"/>
    <w:rsid w:val="00D5368D"/>
    <w:rsid w:val="00D53E5E"/>
    <w:rsid w:val="00D53F6C"/>
    <w:rsid w:val="00D545B6"/>
    <w:rsid w:val="00D5462A"/>
    <w:rsid w:val="00D549C9"/>
    <w:rsid w:val="00D54EFE"/>
    <w:rsid w:val="00D5617B"/>
    <w:rsid w:val="00D563C1"/>
    <w:rsid w:val="00D5659A"/>
    <w:rsid w:val="00D568DE"/>
    <w:rsid w:val="00D56D58"/>
    <w:rsid w:val="00D57137"/>
    <w:rsid w:val="00D575CD"/>
    <w:rsid w:val="00D575E0"/>
    <w:rsid w:val="00D57700"/>
    <w:rsid w:val="00D57A40"/>
    <w:rsid w:val="00D57C5B"/>
    <w:rsid w:val="00D60689"/>
    <w:rsid w:val="00D60696"/>
    <w:rsid w:val="00D60BF5"/>
    <w:rsid w:val="00D60F68"/>
    <w:rsid w:val="00D615E9"/>
    <w:rsid w:val="00D61898"/>
    <w:rsid w:val="00D61A23"/>
    <w:rsid w:val="00D61F21"/>
    <w:rsid w:val="00D621E5"/>
    <w:rsid w:val="00D626E4"/>
    <w:rsid w:val="00D62801"/>
    <w:rsid w:val="00D62BD1"/>
    <w:rsid w:val="00D62E27"/>
    <w:rsid w:val="00D63D21"/>
    <w:rsid w:val="00D63FFF"/>
    <w:rsid w:val="00D64390"/>
    <w:rsid w:val="00D6468A"/>
    <w:rsid w:val="00D6475C"/>
    <w:rsid w:val="00D649BE"/>
    <w:rsid w:val="00D649E8"/>
    <w:rsid w:val="00D650A1"/>
    <w:rsid w:val="00D65226"/>
    <w:rsid w:val="00D6573F"/>
    <w:rsid w:val="00D65AA1"/>
    <w:rsid w:val="00D65D12"/>
    <w:rsid w:val="00D66188"/>
    <w:rsid w:val="00D66193"/>
    <w:rsid w:val="00D662F5"/>
    <w:rsid w:val="00D66FBB"/>
    <w:rsid w:val="00D673CF"/>
    <w:rsid w:val="00D706A6"/>
    <w:rsid w:val="00D7243E"/>
    <w:rsid w:val="00D72E5B"/>
    <w:rsid w:val="00D7403D"/>
    <w:rsid w:val="00D74942"/>
    <w:rsid w:val="00D74D35"/>
    <w:rsid w:val="00D74D9D"/>
    <w:rsid w:val="00D75EB5"/>
    <w:rsid w:val="00D766FF"/>
    <w:rsid w:val="00D76C7D"/>
    <w:rsid w:val="00D770CA"/>
    <w:rsid w:val="00D77B0F"/>
    <w:rsid w:val="00D8087C"/>
    <w:rsid w:val="00D80A5A"/>
    <w:rsid w:val="00D80C4E"/>
    <w:rsid w:val="00D8107E"/>
    <w:rsid w:val="00D814D3"/>
    <w:rsid w:val="00D815FC"/>
    <w:rsid w:val="00D8166E"/>
    <w:rsid w:val="00D828D7"/>
    <w:rsid w:val="00D830B4"/>
    <w:rsid w:val="00D85A47"/>
    <w:rsid w:val="00D85AF0"/>
    <w:rsid w:val="00D85ED6"/>
    <w:rsid w:val="00D86621"/>
    <w:rsid w:val="00D868CF"/>
    <w:rsid w:val="00D86D86"/>
    <w:rsid w:val="00D87B8B"/>
    <w:rsid w:val="00D87F6F"/>
    <w:rsid w:val="00D9045B"/>
    <w:rsid w:val="00D90FB4"/>
    <w:rsid w:val="00D91756"/>
    <w:rsid w:val="00D91C93"/>
    <w:rsid w:val="00D91CA5"/>
    <w:rsid w:val="00D92361"/>
    <w:rsid w:val="00D9244B"/>
    <w:rsid w:val="00D924BC"/>
    <w:rsid w:val="00D9271D"/>
    <w:rsid w:val="00D9290B"/>
    <w:rsid w:val="00D92C19"/>
    <w:rsid w:val="00D92F85"/>
    <w:rsid w:val="00D93455"/>
    <w:rsid w:val="00D93485"/>
    <w:rsid w:val="00D93918"/>
    <w:rsid w:val="00D945E9"/>
    <w:rsid w:val="00D948C1"/>
    <w:rsid w:val="00D94F30"/>
    <w:rsid w:val="00D95103"/>
    <w:rsid w:val="00D9594B"/>
    <w:rsid w:val="00D95A79"/>
    <w:rsid w:val="00D95AA0"/>
    <w:rsid w:val="00D95F0B"/>
    <w:rsid w:val="00D96167"/>
    <w:rsid w:val="00D9638C"/>
    <w:rsid w:val="00D96BCC"/>
    <w:rsid w:val="00D96CD7"/>
    <w:rsid w:val="00D96D60"/>
    <w:rsid w:val="00D96E22"/>
    <w:rsid w:val="00D96ECB"/>
    <w:rsid w:val="00D96F76"/>
    <w:rsid w:val="00D97341"/>
    <w:rsid w:val="00D978FB"/>
    <w:rsid w:val="00DA05B6"/>
    <w:rsid w:val="00DA060D"/>
    <w:rsid w:val="00DA07DA"/>
    <w:rsid w:val="00DA0922"/>
    <w:rsid w:val="00DA0D5E"/>
    <w:rsid w:val="00DA0E5F"/>
    <w:rsid w:val="00DA1404"/>
    <w:rsid w:val="00DA16BF"/>
    <w:rsid w:val="00DA1C6A"/>
    <w:rsid w:val="00DA2051"/>
    <w:rsid w:val="00DA2BFA"/>
    <w:rsid w:val="00DA36EB"/>
    <w:rsid w:val="00DA3EBF"/>
    <w:rsid w:val="00DA40A2"/>
    <w:rsid w:val="00DA4319"/>
    <w:rsid w:val="00DA449D"/>
    <w:rsid w:val="00DA4710"/>
    <w:rsid w:val="00DA4C60"/>
    <w:rsid w:val="00DA50D9"/>
    <w:rsid w:val="00DA515C"/>
    <w:rsid w:val="00DA59C4"/>
    <w:rsid w:val="00DA5EF7"/>
    <w:rsid w:val="00DA6289"/>
    <w:rsid w:val="00DA79C2"/>
    <w:rsid w:val="00DA7AB3"/>
    <w:rsid w:val="00DA7B4C"/>
    <w:rsid w:val="00DB08CA"/>
    <w:rsid w:val="00DB08F0"/>
    <w:rsid w:val="00DB090C"/>
    <w:rsid w:val="00DB1598"/>
    <w:rsid w:val="00DB1B82"/>
    <w:rsid w:val="00DB1FA5"/>
    <w:rsid w:val="00DB22C0"/>
    <w:rsid w:val="00DB22D5"/>
    <w:rsid w:val="00DB2609"/>
    <w:rsid w:val="00DB280C"/>
    <w:rsid w:val="00DB2BE6"/>
    <w:rsid w:val="00DB2E2E"/>
    <w:rsid w:val="00DB33DD"/>
    <w:rsid w:val="00DB342A"/>
    <w:rsid w:val="00DB40E3"/>
    <w:rsid w:val="00DB44EB"/>
    <w:rsid w:val="00DB4897"/>
    <w:rsid w:val="00DB4CD1"/>
    <w:rsid w:val="00DB4D74"/>
    <w:rsid w:val="00DB53BE"/>
    <w:rsid w:val="00DB5514"/>
    <w:rsid w:val="00DB5A6C"/>
    <w:rsid w:val="00DB61FE"/>
    <w:rsid w:val="00DB64D8"/>
    <w:rsid w:val="00DB6972"/>
    <w:rsid w:val="00DC00A3"/>
    <w:rsid w:val="00DC081D"/>
    <w:rsid w:val="00DC0915"/>
    <w:rsid w:val="00DC0DF2"/>
    <w:rsid w:val="00DC1940"/>
    <w:rsid w:val="00DC1DCE"/>
    <w:rsid w:val="00DC28FA"/>
    <w:rsid w:val="00DC2CD5"/>
    <w:rsid w:val="00DC3775"/>
    <w:rsid w:val="00DC3CB6"/>
    <w:rsid w:val="00DC48DD"/>
    <w:rsid w:val="00DC48F1"/>
    <w:rsid w:val="00DC4CA2"/>
    <w:rsid w:val="00DC5802"/>
    <w:rsid w:val="00DC7643"/>
    <w:rsid w:val="00DC7738"/>
    <w:rsid w:val="00DC7807"/>
    <w:rsid w:val="00DD0CDB"/>
    <w:rsid w:val="00DD0E1D"/>
    <w:rsid w:val="00DD18DF"/>
    <w:rsid w:val="00DD1BD5"/>
    <w:rsid w:val="00DD1D4B"/>
    <w:rsid w:val="00DD249E"/>
    <w:rsid w:val="00DD26F3"/>
    <w:rsid w:val="00DD27C7"/>
    <w:rsid w:val="00DD2DA4"/>
    <w:rsid w:val="00DD36FB"/>
    <w:rsid w:val="00DD43AD"/>
    <w:rsid w:val="00DD45FA"/>
    <w:rsid w:val="00DD51D7"/>
    <w:rsid w:val="00DD5860"/>
    <w:rsid w:val="00DD5B62"/>
    <w:rsid w:val="00DD5B86"/>
    <w:rsid w:val="00DD6063"/>
    <w:rsid w:val="00DD6869"/>
    <w:rsid w:val="00DD6C18"/>
    <w:rsid w:val="00DD6DBF"/>
    <w:rsid w:val="00DD7F0E"/>
    <w:rsid w:val="00DE001F"/>
    <w:rsid w:val="00DE0BA6"/>
    <w:rsid w:val="00DE1A06"/>
    <w:rsid w:val="00DE28F4"/>
    <w:rsid w:val="00DE36DB"/>
    <w:rsid w:val="00DE42F6"/>
    <w:rsid w:val="00DE5CBD"/>
    <w:rsid w:val="00DE5E10"/>
    <w:rsid w:val="00DE7507"/>
    <w:rsid w:val="00DE7716"/>
    <w:rsid w:val="00DE7DCD"/>
    <w:rsid w:val="00DF037C"/>
    <w:rsid w:val="00DF04F3"/>
    <w:rsid w:val="00DF0971"/>
    <w:rsid w:val="00DF09B6"/>
    <w:rsid w:val="00DF0DE9"/>
    <w:rsid w:val="00DF17B2"/>
    <w:rsid w:val="00DF1F8F"/>
    <w:rsid w:val="00DF1FA4"/>
    <w:rsid w:val="00DF211E"/>
    <w:rsid w:val="00DF2983"/>
    <w:rsid w:val="00DF2E30"/>
    <w:rsid w:val="00DF3451"/>
    <w:rsid w:val="00DF349F"/>
    <w:rsid w:val="00DF3FC4"/>
    <w:rsid w:val="00DF4A06"/>
    <w:rsid w:val="00DF4BC8"/>
    <w:rsid w:val="00DF4E6F"/>
    <w:rsid w:val="00DF510D"/>
    <w:rsid w:val="00DF5585"/>
    <w:rsid w:val="00DF58CB"/>
    <w:rsid w:val="00DF5C66"/>
    <w:rsid w:val="00DF6199"/>
    <w:rsid w:val="00DF6A80"/>
    <w:rsid w:val="00DF7ABB"/>
    <w:rsid w:val="00DF7B7D"/>
    <w:rsid w:val="00DF7DB4"/>
    <w:rsid w:val="00E0019F"/>
    <w:rsid w:val="00E00302"/>
    <w:rsid w:val="00E007F9"/>
    <w:rsid w:val="00E00F23"/>
    <w:rsid w:val="00E0107A"/>
    <w:rsid w:val="00E011E7"/>
    <w:rsid w:val="00E01842"/>
    <w:rsid w:val="00E01F0A"/>
    <w:rsid w:val="00E0247C"/>
    <w:rsid w:val="00E0291F"/>
    <w:rsid w:val="00E02C3E"/>
    <w:rsid w:val="00E02DAF"/>
    <w:rsid w:val="00E03109"/>
    <w:rsid w:val="00E03CDF"/>
    <w:rsid w:val="00E0543D"/>
    <w:rsid w:val="00E0587A"/>
    <w:rsid w:val="00E06564"/>
    <w:rsid w:val="00E0677E"/>
    <w:rsid w:val="00E069D5"/>
    <w:rsid w:val="00E06B05"/>
    <w:rsid w:val="00E07222"/>
    <w:rsid w:val="00E07840"/>
    <w:rsid w:val="00E106F3"/>
    <w:rsid w:val="00E10950"/>
    <w:rsid w:val="00E10A15"/>
    <w:rsid w:val="00E118D9"/>
    <w:rsid w:val="00E11A24"/>
    <w:rsid w:val="00E12123"/>
    <w:rsid w:val="00E1244F"/>
    <w:rsid w:val="00E13B22"/>
    <w:rsid w:val="00E14889"/>
    <w:rsid w:val="00E14965"/>
    <w:rsid w:val="00E158FC"/>
    <w:rsid w:val="00E15B14"/>
    <w:rsid w:val="00E165F0"/>
    <w:rsid w:val="00E167E0"/>
    <w:rsid w:val="00E2035E"/>
    <w:rsid w:val="00E204F7"/>
    <w:rsid w:val="00E212AF"/>
    <w:rsid w:val="00E214A0"/>
    <w:rsid w:val="00E223F9"/>
    <w:rsid w:val="00E2316D"/>
    <w:rsid w:val="00E2356C"/>
    <w:rsid w:val="00E23AA9"/>
    <w:rsid w:val="00E254DD"/>
    <w:rsid w:val="00E26935"/>
    <w:rsid w:val="00E26A70"/>
    <w:rsid w:val="00E26ABB"/>
    <w:rsid w:val="00E26CA5"/>
    <w:rsid w:val="00E26EEE"/>
    <w:rsid w:val="00E2753E"/>
    <w:rsid w:val="00E27E18"/>
    <w:rsid w:val="00E301E5"/>
    <w:rsid w:val="00E30B9A"/>
    <w:rsid w:val="00E30C50"/>
    <w:rsid w:val="00E30F1B"/>
    <w:rsid w:val="00E31648"/>
    <w:rsid w:val="00E31748"/>
    <w:rsid w:val="00E31F95"/>
    <w:rsid w:val="00E323E9"/>
    <w:rsid w:val="00E32C17"/>
    <w:rsid w:val="00E33030"/>
    <w:rsid w:val="00E332FD"/>
    <w:rsid w:val="00E34474"/>
    <w:rsid w:val="00E3468E"/>
    <w:rsid w:val="00E34DF9"/>
    <w:rsid w:val="00E34E08"/>
    <w:rsid w:val="00E354D4"/>
    <w:rsid w:val="00E35D0F"/>
    <w:rsid w:val="00E36592"/>
    <w:rsid w:val="00E3726D"/>
    <w:rsid w:val="00E373DC"/>
    <w:rsid w:val="00E37686"/>
    <w:rsid w:val="00E37991"/>
    <w:rsid w:val="00E37E5A"/>
    <w:rsid w:val="00E406DB"/>
    <w:rsid w:val="00E40797"/>
    <w:rsid w:val="00E41D07"/>
    <w:rsid w:val="00E41ED6"/>
    <w:rsid w:val="00E42189"/>
    <w:rsid w:val="00E42C6D"/>
    <w:rsid w:val="00E43559"/>
    <w:rsid w:val="00E435C5"/>
    <w:rsid w:val="00E441A6"/>
    <w:rsid w:val="00E44674"/>
    <w:rsid w:val="00E44914"/>
    <w:rsid w:val="00E4532A"/>
    <w:rsid w:val="00E45454"/>
    <w:rsid w:val="00E4580C"/>
    <w:rsid w:val="00E4642A"/>
    <w:rsid w:val="00E469E3"/>
    <w:rsid w:val="00E46BE1"/>
    <w:rsid w:val="00E47044"/>
    <w:rsid w:val="00E470EE"/>
    <w:rsid w:val="00E47769"/>
    <w:rsid w:val="00E47902"/>
    <w:rsid w:val="00E47A3F"/>
    <w:rsid w:val="00E47B63"/>
    <w:rsid w:val="00E50166"/>
    <w:rsid w:val="00E50836"/>
    <w:rsid w:val="00E50A4D"/>
    <w:rsid w:val="00E50EB8"/>
    <w:rsid w:val="00E510B5"/>
    <w:rsid w:val="00E51567"/>
    <w:rsid w:val="00E51695"/>
    <w:rsid w:val="00E5171B"/>
    <w:rsid w:val="00E518AB"/>
    <w:rsid w:val="00E51CFF"/>
    <w:rsid w:val="00E52266"/>
    <w:rsid w:val="00E522EC"/>
    <w:rsid w:val="00E52719"/>
    <w:rsid w:val="00E53541"/>
    <w:rsid w:val="00E538D1"/>
    <w:rsid w:val="00E54070"/>
    <w:rsid w:val="00E542DE"/>
    <w:rsid w:val="00E54916"/>
    <w:rsid w:val="00E55196"/>
    <w:rsid w:val="00E55421"/>
    <w:rsid w:val="00E555E6"/>
    <w:rsid w:val="00E55643"/>
    <w:rsid w:val="00E55818"/>
    <w:rsid w:val="00E5583F"/>
    <w:rsid w:val="00E55CBA"/>
    <w:rsid w:val="00E561C2"/>
    <w:rsid w:val="00E563B0"/>
    <w:rsid w:val="00E567D0"/>
    <w:rsid w:val="00E56CE5"/>
    <w:rsid w:val="00E5760B"/>
    <w:rsid w:val="00E6018C"/>
    <w:rsid w:val="00E60A49"/>
    <w:rsid w:val="00E60A51"/>
    <w:rsid w:val="00E60C5E"/>
    <w:rsid w:val="00E6163D"/>
    <w:rsid w:val="00E61DEC"/>
    <w:rsid w:val="00E61ECA"/>
    <w:rsid w:val="00E62007"/>
    <w:rsid w:val="00E6226F"/>
    <w:rsid w:val="00E62759"/>
    <w:rsid w:val="00E62AAD"/>
    <w:rsid w:val="00E62AB6"/>
    <w:rsid w:val="00E636B2"/>
    <w:rsid w:val="00E63BFD"/>
    <w:rsid w:val="00E63DEE"/>
    <w:rsid w:val="00E64416"/>
    <w:rsid w:val="00E64B05"/>
    <w:rsid w:val="00E655E1"/>
    <w:rsid w:val="00E667E3"/>
    <w:rsid w:val="00E67E5D"/>
    <w:rsid w:val="00E67F50"/>
    <w:rsid w:val="00E70B71"/>
    <w:rsid w:val="00E70D25"/>
    <w:rsid w:val="00E71A4B"/>
    <w:rsid w:val="00E722DD"/>
    <w:rsid w:val="00E7255B"/>
    <w:rsid w:val="00E728AF"/>
    <w:rsid w:val="00E72A49"/>
    <w:rsid w:val="00E72E39"/>
    <w:rsid w:val="00E733B9"/>
    <w:rsid w:val="00E73D96"/>
    <w:rsid w:val="00E74145"/>
    <w:rsid w:val="00E74856"/>
    <w:rsid w:val="00E7501D"/>
    <w:rsid w:val="00E752FB"/>
    <w:rsid w:val="00E75753"/>
    <w:rsid w:val="00E76F28"/>
    <w:rsid w:val="00E80542"/>
    <w:rsid w:val="00E80E20"/>
    <w:rsid w:val="00E82028"/>
    <w:rsid w:val="00E83A0F"/>
    <w:rsid w:val="00E84215"/>
    <w:rsid w:val="00E84536"/>
    <w:rsid w:val="00E8461F"/>
    <w:rsid w:val="00E8475C"/>
    <w:rsid w:val="00E847FA"/>
    <w:rsid w:val="00E847FB"/>
    <w:rsid w:val="00E84C3C"/>
    <w:rsid w:val="00E85AC0"/>
    <w:rsid w:val="00E85AE5"/>
    <w:rsid w:val="00E8644F"/>
    <w:rsid w:val="00E86471"/>
    <w:rsid w:val="00E8653E"/>
    <w:rsid w:val="00E87300"/>
    <w:rsid w:val="00E874B7"/>
    <w:rsid w:val="00E87925"/>
    <w:rsid w:val="00E87C72"/>
    <w:rsid w:val="00E87FB4"/>
    <w:rsid w:val="00E902B7"/>
    <w:rsid w:val="00E90F4C"/>
    <w:rsid w:val="00E92A24"/>
    <w:rsid w:val="00E92FAE"/>
    <w:rsid w:val="00E932C1"/>
    <w:rsid w:val="00E94519"/>
    <w:rsid w:val="00E9469C"/>
    <w:rsid w:val="00E95D02"/>
    <w:rsid w:val="00E964B1"/>
    <w:rsid w:val="00E965A3"/>
    <w:rsid w:val="00E968E3"/>
    <w:rsid w:val="00E96988"/>
    <w:rsid w:val="00E96D76"/>
    <w:rsid w:val="00E97734"/>
    <w:rsid w:val="00E9782A"/>
    <w:rsid w:val="00E97FDF"/>
    <w:rsid w:val="00EA0497"/>
    <w:rsid w:val="00EA0523"/>
    <w:rsid w:val="00EA05D7"/>
    <w:rsid w:val="00EA0FC4"/>
    <w:rsid w:val="00EA28A0"/>
    <w:rsid w:val="00EA2995"/>
    <w:rsid w:val="00EA2D5E"/>
    <w:rsid w:val="00EA2EA5"/>
    <w:rsid w:val="00EA3671"/>
    <w:rsid w:val="00EA3E71"/>
    <w:rsid w:val="00EA3EFB"/>
    <w:rsid w:val="00EA3FD4"/>
    <w:rsid w:val="00EA46F5"/>
    <w:rsid w:val="00EA4DE8"/>
    <w:rsid w:val="00EA50A9"/>
    <w:rsid w:val="00EA5619"/>
    <w:rsid w:val="00EA5A96"/>
    <w:rsid w:val="00EA678D"/>
    <w:rsid w:val="00EA6B87"/>
    <w:rsid w:val="00EA6BE8"/>
    <w:rsid w:val="00EA7A25"/>
    <w:rsid w:val="00EB03F4"/>
    <w:rsid w:val="00EB17C3"/>
    <w:rsid w:val="00EB1AAE"/>
    <w:rsid w:val="00EB24EF"/>
    <w:rsid w:val="00EB25DA"/>
    <w:rsid w:val="00EB3218"/>
    <w:rsid w:val="00EB3B2A"/>
    <w:rsid w:val="00EB3E29"/>
    <w:rsid w:val="00EB4704"/>
    <w:rsid w:val="00EB4A0C"/>
    <w:rsid w:val="00EB4E1B"/>
    <w:rsid w:val="00EB5301"/>
    <w:rsid w:val="00EB584E"/>
    <w:rsid w:val="00EB5C73"/>
    <w:rsid w:val="00EB5F03"/>
    <w:rsid w:val="00EB6046"/>
    <w:rsid w:val="00EB78FC"/>
    <w:rsid w:val="00EB7909"/>
    <w:rsid w:val="00EB7921"/>
    <w:rsid w:val="00EC07F6"/>
    <w:rsid w:val="00EC0C74"/>
    <w:rsid w:val="00EC0FFA"/>
    <w:rsid w:val="00EC1274"/>
    <w:rsid w:val="00EC133C"/>
    <w:rsid w:val="00EC1CC5"/>
    <w:rsid w:val="00EC1EB6"/>
    <w:rsid w:val="00EC26E6"/>
    <w:rsid w:val="00EC2A8E"/>
    <w:rsid w:val="00EC31E0"/>
    <w:rsid w:val="00EC35CC"/>
    <w:rsid w:val="00EC3D12"/>
    <w:rsid w:val="00EC4248"/>
    <w:rsid w:val="00EC43CA"/>
    <w:rsid w:val="00EC5914"/>
    <w:rsid w:val="00EC5AE4"/>
    <w:rsid w:val="00EC63A9"/>
    <w:rsid w:val="00EC63B6"/>
    <w:rsid w:val="00EC65F3"/>
    <w:rsid w:val="00EC6988"/>
    <w:rsid w:val="00EC6E00"/>
    <w:rsid w:val="00EC6EE0"/>
    <w:rsid w:val="00EC749E"/>
    <w:rsid w:val="00EC74E3"/>
    <w:rsid w:val="00ED028B"/>
    <w:rsid w:val="00ED0744"/>
    <w:rsid w:val="00ED0A26"/>
    <w:rsid w:val="00ED0F67"/>
    <w:rsid w:val="00ED155C"/>
    <w:rsid w:val="00ED16D0"/>
    <w:rsid w:val="00ED1B9F"/>
    <w:rsid w:val="00ED259E"/>
    <w:rsid w:val="00ED25EB"/>
    <w:rsid w:val="00ED267B"/>
    <w:rsid w:val="00ED2913"/>
    <w:rsid w:val="00ED2E70"/>
    <w:rsid w:val="00ED337E"/>
    <w:rsid w:val="00ED41BB"/>
    <w:rsid w:val="00ED4939"/>
    <w:rsid w:val="00ED4CA0"/>
    <w:rsid w:val="00ED5704"/>
    <w:rsid w:val="00ED5BFC"/>
    <w:rsid w:val="00ED5C0D"/>
    <w:rsid w:val="00ED6016"/>
    <w:rsid w:val="00ED666B"/>
    <w:rsid w:val="00ED7B15"/>
    <w:rsid w:val="00EE0429"/>
    <w:rsid w:val="00EE061D"/>
    <w:rsid w:val="00EE09F0"/>
    <w:rsid w:val="00EE0EF6"/>
    <w:rsid w:val="00EE1ED2"/>
    <w:rsid w:val="00EE2F4A"/>
    <w:rsid w:val="00EE3358"/>
    <w:rsid w:val="00EE34E2"/>
    <w:rsid w:val="00EE37F2"/>
    <w:rsid w:val="00EE4315"/>
    <w:rsid w:val="00EE52AC"/>
    <w:rsid w:val="00EE59B4"/>
    <w:rsid w:val="00EE5B13"/>
    <w:rsid w:val="00EE6DBA"/>
    <w:rsid w:val="00EE7756"/>
    <w:rsid w:val="00EF01DB"/>
    <w:rsid w:val="00EF0548"/>
    <w:rsid w:val="00EF05F4"/>
    <w:rsid w:val="00EF1F5F"/>
    <w:rsid w:val="00EF27CD"/>
    <w:rsid w:val="00EF32BE"/>
    <w:rsid w:val="00EF370B"/>
    <w:rsid w:val="00EF38BA"/>
    <w:rsid w:val="00EF3A17"/>
    <w:rsid w:val="00EF3A5B"/>
    <w:rsid w:val="00EF5358"/>
    <w:rsid w:val="00EF54E6"/>
    <w:rsid w:val="00EF5758"/>
    <w:rsid w:val="00EF5D0E"/>
    <w:rsid w:val="00EF6CF8"/>
    <w:rsid w:val="00EF71DA"/>
    <w:rsid w:val="00EF76F1"/>
    <w:rsid w:val="00F00162"/>
    <w:rsid w:val="00F0059B"/>
    <w:rsid w:val="00F00618"/>
    <w:rsid w:val="00F00D6B"/>
    <w:rsid w:val="00F01543"/>
    <w:rsid w:val="00F022C9"/>
    <w:rsid w:val="00F0290F"/>
    <w:rsid w:val="00F0341D"/>
    <w:rsid w:val="00F03AA1"/>
    <w:rsid w:val="00F03BA1"/>
    <w:rsid w:val="00F03E01"/>
    <w:rsid w:val="00F0416E"/>
    <w:rsid w:val="00F0428B"/>
    <w:rsid w:val="00F04693"/>
    <w:rsid w:val="00F05098"/>
    <w:rsid w:val="00F05185"/>
    <w:rsid w:val="00F056BF"/>
    <w:rsid w:val="00F057A0"/>
    <w:rsid w:val="00F05B06"/>
    <w:rsid w:val="00F05CEE"/>
    <w:rsid w:val="00F05DCF"/>
    <w:rsid w:val="00F0653D"/>
    <w:rsid w:val="00F0689A"/>
    <w:rsid w:val="00F072AD"/>
    <w:rsid w:val="00F074DC"/>
    <w:rsid w:val="00F076D9"/>
    <w:rsid w:val="00F10614"/>
    <w:rsid w:val="00F109E7"/>
    <w:rsid w:val="00F115A5"/>
    <w:rsid w:val="00F11DD7"/>
    <w:rsid w:val="00F1231C"/>
    <w:rsid w:val="00F12D9F"/>
    <w:rsid w:val="00F137E0"/>
    <w:rsid w:val="00F13C79"/>
    <w:rsid w:val="00F14A4B"/>
    <w:rsid w:val="00F14CFA"/>
    <w:rsid w:val="00F15392"/>
    <w:rsid w:val="00F153D5"/>
    <w:rsid w:val="00F1562F"/>
    <w:rsid w:val="00F1650D"/>
    <w:rsid w:val="00F166AE"/>
    <w:rsid w:val="00F1677F"/>
    <w:rsid w:val="00F16842"/>
    <w:rsid w:val="00F16D48"/>
    <w:rsid w:val="00F16D5B"/>
    <w:rsid w:val="00F176D8"/>
    <w:rsid w:val="00F17F8E"/>
    <w:rsid w:val="00F224C0"/>
    <w:rsid w:val="00F22E68"/>
    <w:rsid w:val="00F22F0A"/>
    <w:rsid w:val="00F23DF1"/>
    <w:rsid w:val="00F24418"/>
    <w:rsid w:val="00F256F6"/>
    <w:rsid w:val="00F25B50"/>
    <w:rsid w:val="00F2680A"/>
    <w:rsid w:val="00F26BBE"/>
    <w:rsid w:val="00F27AEC"/>
    <w:rsid w:val="00F30651"/>
    <w:rsid w:val="00F31089"/>
    <w:rsid w:val="00F31711"/>
    <w:rsid w:val="00F31D14"/>
    <w:rsid w:val="00F31E46"/>
    <w:rsid w:val="00F33710"/>
    <w:rsid w:val="00F340C5"/>
    <w:rsid w:val="00F343DE"/>
    <w:rsid w:val="00F34AF1"/>
    <w:rsid w:val="00F352CC"/>
    <w:rsid w:val="00F35725"/>
    <w:rsid w:val="00F35F1D"/>
    <w:rsid w:val="00F3635A"/>
    <w:rsid w:val="00F3637A"/>
    <w:rsid w:val="00F36BDF"/>
    <w:rsid w:val="00F36FB0"/>
    <w:rsid w:val="00F36FD3"/>
    <w:rsid w:val="00F37638"/>
    <w:rsid w:val="00F37801"/>
    <w:rsid w:val="00F378A0"/>
    <w:rsid w:val="00F37DD1"/>
    <w:rsid w:val="00F4029D"/>
    <w:rsid w:val="00F405A1"/>
    <w:rsid w:val="00F40FFE"/>
    <w:rsid w:val="00F41942"/>
    <w:rsid w:val="00F41AAE"/>
    <w:rsid w:val="00F41BF9"/>
    <w:rsid w:val="00F439FC"/>
    <w:rsid w:val="00F43E66"/>
    <w:rsid w:val="00F4580C"/>
    <w:rsid w:val="00F4583F"/>
    <w:rsid w:val="00F46B9A"/>
    <w:rsid w:val="00F47350"/>
    <w:rsid w:val="00F47F66"/>
    <w:rsid w:val="00F50679"/>
    <w:rsid w:val="00F50B63"/>
    <w:rsid w:val="00F514A6"/>
    <w:rsid w:val="00F52265"/>
    <w:rsid w:val="00F5256E"/>
    <w:rsid w:val="00F525CA"/>
    <w:rsid w:val="00F526A8"/>
    <w:rsid w:val="00F52885"/>
    <w:rsid w:val="00F52C2C"/>
    <w:rsid w:val="00F53483"/>
    <w:rsid w:val="00F5377A"/>
    <w:rsid w:val="00F53A61"/>
    <w:rsid w:val="00F53AE1"/>
    <w:rsid w:val="00F53CA6"/>
    <w:rsid w:val="00F54BCF"/>
    <w:rsid w:val="00F55C4E"/>
    <w:rsid w:val="00F55CB0"/>
    <w:rsid w:val="00F56956"/>
    <w:rsid w:val="00F56B86"/>
    <w:rsid w:val="00F57013"/>
    <w:rsid w:val="00F57728"/>
    <w:rsid w:val="00F57D50"/>
    <w:rsid w:val="00F57F6F"/>
    <w:rsid w:val="00F60645"/>
    <w:rsid w:val="00F60BAD"/>
    <w:rsid w:val="00F60D17"/>
    <w:rsid w:val="00F61243"/>
    <w:rsid w:val="00F617FA"/>
    <w:rsid w:val="00F619D4"/>
    <w:rsid w:val="00F61EDD"/>
    <w:rsid w:val="00F61F81"/>
    <w:rsid w:val="00F62B1E"/>
    <w:rsid w:val="00F62C65"/>
    <w:rsid w:val="00F62DCA"/>
    <w:rsid w:val="00F63724"/>
    <w:rsid w:val="00F6376F"/>
    <w:rsid w:val="00F63C5F"/>
    <w:rsid w:val="00F63D0E"/>
    <w:rsid w:val="00F63E55"/>
    <w:rsid w:val="00F64013"/>
    <w:rsid w:val="00F645A9"/>
    <w:rsid w:val="00F64D4F"/>
    <w:rsid w:val="00F65450"/>
    <w:rsid w:val="00F655ED"/>
    <w:rsid w:val="00F65ABA"/>
    <w:rsid w:val="00F65C5D"/>
    <w:rsid w:val="00F6738B"/>
    <w:rsid w:val="00F71A8E"/>
    <w:rsid w:val="00F71B3C"/>
    <w:rsid w:val="00F71D10"/>
    <w:rsid w:val="00F7276C"/>
    <w:rsid w:val="00F72928"/>
    <w:rsid w:val="00F73381"/>
    <w:rsid w:val="00F73535"/>
    <w:rsid w:val="00F73B23"/>
    <w:rsid w:val="00F741D3"/>
    <w:rsid w:val="00F74211"/>
    <w:rsid w:val="00F75D61"/>
    <w:rsid w:val="00F766A7"/>
    <w:rsid w:val="00F7687F"/>
    <w:rsid w:val="00F76F35"/>
    <w:rsid w:val="00F771CF"/>
    <w:rsid w:val="00F77F83"/>
    <w:rsid w:val="00F80101"/>
    <w:rsid w:val="00F80E4A"/>
    <w:rsid w:val="00F811C3"/>
    <w:rsid w:val="00F815F8"/>
    <w:rsid w:val="00F82A5F"/>
    <w:rsid w:val="00F834BE"/>
    <w:rsid w:val="00F8368B"/>
    <w:rsid w:val="00F83B26"/>
    <w:rsid w:val="00F83FDA"/>
    <w:rsid w:val="00F8427C"/>
    <w:rsid w:val="00F84E17"/>
    <w:rsid w:val="00F84F5E"/>
    <w:rsid w:val="00F85425"/>
    <w:rsid w:val="00F85F04"/>
    <w:rsid w:val="00F8625A"/>
    <w:rsid w:val="00F8664D"/>
    <w:rsid w:val="00F86988"/>
    <w:rsid w:val="00F86F27"/>
    <w:rsid w:val="00F87373"/>
    <w:rsid w:val="00F875A3"/>
    <w:rsid w:val="00F877AD"/>
    <w:rsid w:val="00F87DD6"/>
    <w:rsid w:val="00F908B9"/>
    <w:rsid w:val="00F90996"/>
    <w:rsid w:val="00F90CD6"/>
    <w:rsid w:val="00F91330"/>
    <w:rsid w:val="00F913FE"/>
    <w:rsid w:val="00F91471"/>
    <w:rsid w:val="00F91B73"/>
    <w:rsid w:val="00F91C53"/>
    <w:rsid w:val="00F9376F"/>
    <w:rsid w:val="00F93818"/>
    <w:rsid w:val="00F943F3"/>
    <w:rsid w:val="00F94F74"/>
    <w:rsid w:val="00F95132"/>
    <w:rsid w:val="00F95562"/>
    <w:rsid w:val="00F95D3E"/>
    <w:rsid w:val="00F95FEA"/>
    <w:rsid w:val="00F96016"/>
    <w:rsid w:val="00F961B6"/>
    <w:rsid w:val="00F96589"/>
    <w:rsid w:val="00F96EC9"/>
    <w:rsid w:val="00F970E6"/>
    <w:rsid w:val="00F97480"/>
    <w:rsid w:val="00F97844"/>
    <w:rsid w:val="00F978F8"/>
    <w:rsid w:val="00FA0CFD"/>
    <w:rsid w:val="00FA1491"/>
    <w:rsid w:val="00FA1E9D"/>
    <w:rsid w:val="00FA278C"/>
    <w:rsid w:val="00FA28D6"/>
    <w:rsid w:val="00FA2C0F"/>
    <w:rsid w:val="00FA3643"/>
    <w:rsid w:val="00FA39F1"/>
    <w:rsid w:val="00FA3F9D"/>
    <w:rsid w:val="00FA4122"/>
    <w:rsid w:val="00FA42B8"/>
    <w:rsid w:val="00FA4679"/>
    <w:rsid w:val="00FA47AD"/>
    <w:rsid w:val="00FA5158"/>
    <w:rsid w:val="00FA5185"/>
    <w:rsid w:val="00FA51A6"/>
    <w:rsid w:val="00FA5CCF"/>
    <w:rsid w:val="00FA5EE5"/>
    <w:rsid w:val="00FA6248"/>
    <w:rsid w:val="00FA63AD"/>
    <w:rsid w:val="00FA696B"/>
    <w:rsid w:val="00FA6E42"/>
    <w:rsid w:val="00FA7AC7"/>
    <w:rsid w:val="00FB010C"/>
    <w:rsid w:val="00FB019B"/>
    <w:rsid w:val="00FB01C2"/>
    <w:rsid w:val="00FB0226"/>
    <w:rsid w:val="00FB04F4"/>
    <w:rsid w:val="00FB05C0"/>
    <w:rsid w:val="00FB0B08"/>
    <w:rsid w:val="00FB0EDF"/>
    <w:rsid w:val="00FB111D"/>
    <w:rsid w:val="00FB14CC"/>
    <w:rsid w:val="00FB14DE"/>
    <w:rsid w:val="00FB29DA"/>
    <w:rsid w:val="00FB29DF"/>
    <w:rsid w:val="00FB3086"/>
    <w:rsid w:val="00FB30D7"/>
    <w:rsid w:val="00FB3139"/>
    <w:rsid w:val="00FB32A3"/>
    <w:rsid w:val="00FB35B5"/>
    <w:rsid w:val="00FB405D"/>
    <w:rsid w:val="00FB45EB"/>
    <w:rsid w:val="00FB61A8"/>
    <w:rsid w:val="00FB64B0"/>
    <w:rsid w:val="00FB6894"/>
    <w:rsid w:val="00FB6F17"/>
    <w:rsid w:val="00FB764D"/>
    <w:rsid w:val="00FB7E26"/>
    <w:rsid w:val="00FC0DA4"/>
    <w:rsid w:val="00FC1095"/>
    <w:rsid w:val="00FC300D"/>
    <w:rsid w:val="00FC3112"/>
    <w:rsid w:val="00FC32EF"/>
    <w:rsid w:val="00FC33EA"/>
    <w:rsid w:val="00FC36D3"/>
    <w:rsid w:val="00FC37B5"/>
    <w:rsid w:val="00FC3E4F"/>
    <w:rsid w:val="00FC3EB1"/>
    <w:rsid w:val="00FC4020"/>
    <w:rsid w:val="00FC453B"/>
    <w:rsid w:val="00FC474B"/>
    <w:rsid w:val="00FC515A"/>
    <w:rsid w:val="00FC5C77"/>
    <w:rsid w:val="00FC5FD9"/>
    <w:rsid w:val="00FC6961"/>
    <w:rsid w:val="00FC75DF"/>
    <w:rsid w:val="00FC77E5"/>
    <w:rsid w:val="00FC7827"/>
    <w:rsid w:val="00FD0D66"/>
    <w:rsid w:val="00FD1381"/>
    <w:rsid w:val="00FD1F02"/>
    <w:rsid w:val="00FD1F91"/>
    <w:rsid w:val="00FD2236"/>
    <w:rsid w:val="00FD2708"/>
    <w:rsid w:val="00FD2B5E"/>
    <w:rsid w:val="00FD2C0A"/>
    <w:rsid w:val="00FD308D"/>
    <w:rsid w:val="00FD36B0"/>
    <w:rsid w:val="00FD399F"/>
    <w:rsid w:val="00FD455D"/>
    <w:rsid w:val="00FD4594"/>
    <w:rsid w:val="00FD48F4"/>
    <w:rsid w:val="00FD594C"/>
    <w:rsid w:val="00FD5B1A"/>
    <w:rsid w:val="00FD60CA"/>
    <w:rsid w:val="00FD62F0"/>
    <w:rsid w:val="00FD7CEB"/>
    <w:rsid w:val="00FE0656"/>
    <w:rsid w:val="00FE0B17"/>
    <w:rsid w:val="00FE0CD7"/>
    <w:rsid w:val="00FE0FE1"/>
    <w:rsid w:val="00FE155C"/>
    <w:rsid w:val="00FE1620"/>
    <w:rsid w:val="00FE1CF5"/>
    <w:rsid w:val="00FE1ED6"/>
    <w:rsid w:val="00FE2030"/>
    <w:rsid w:val="00FE2D55"/>
    <w:rsid w:val="00FE2D91"/>
    <w:rsid w:val="00FE2DF6"/>
    <w:rsid w:val="00FE3D58"/>
    <w:rsid w:val="00FE3DDF"/>
    <w:rsid w:val="00FE4271"/>
    <w:rsid w:val="00FE4750"/>
    <w:rsid w:val="00FE4BF2"/>
    <w:rsid w:val="00FE5796"/>
    <w:rsid w:val="00FE59AA"/>
    <w:rsid w:val="00FE647E"/>
    <w:rsid w:val="00FE6B93"/>
    <w:rsid w:val="00FE6EAF"/>
    <w:rsid w:val="00FF02BC"/>
    <w:rsid w:val="00FF079E"/>
    <w:rsid w:val="00FF1BC7"/>
    <w:rsid w:val="00FF2CCC"/>
    <w:rsid w:val="00FF376A"/>
    <w:rsid w:val="00FF4905"/>
    <w:rsid w:val="00FF49B8"/>
    <w:rsid w:val="00FF4A53"/>
    <w:rsid w:val="00FF4AEF"/>
    <w:rsid w:val="00FF52B5"/>
    <w:rsid w:val="00FF5B8C"/>
    <w:rsid w:val="00FF5F0E"/>
    <w:rsid w:val="00FF6317"/>
    <w:rsid w:val="00FF63E1"/>
    <w:rsid w:val="00FF67A2"/>
    <w:rsid w:val="00FF6B0B"/>
    <w:rsid w:val="00FF6BF2"/>
    <w:rsid w:val="00FF6D35"/>
    <w:rsid w:val="00FF744E"/>
    <w:rsid w:val="00FF772D"/>
    <w:rsid w:val="00FF785B"/>
    <w:rsid w:val="00FF79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163D0"/>
  <w15:chartTrackingRefBased/>
  <w15:docId w15:val="{C747CC49-311D-40A7-8D68-74D63C67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A3A"/>
    <w:rPr>
      <w:lang w:val="ru-RU" w:eastAsia="ru-RU"/>
    </w:rPr>
  </w:style>
  <w:style w:type="paragraph" w:styleId="1">
    <w:name w:val="heading 1"/>
    <w:basedOn w:val="a"/>
    <w:next w:val="a"/>
    <w:link w:val="10"/>
    <w:uiPriority w:val="9"/>
    <w:qFormat/>
    <w:rsid w:val="00607E27"/>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944C8"/>
    <w:pPr>
      <w:keepNext/>
      <w:ind w:firstLine="720"/>
      <w:jc w:val="center"/>
      <w:outlineLvl w:val="1"/>
    </w:pPr>
    <w:rPr>
      <w:sz w:val="24"/>
      <w:szCs w:val="24"/>
      <w:lang w:val="uk-UA"/>
    </w:rPr>
  </w:style>
  <w:style w:type="paragraph" w:styleId="3">
    <w:name w:val="heading 3"/>
    <w:basedOn w:val="a"/>
    <w:next w:val="a"/>
    <w:qFormat/>
    <w:rsid w:val="000944C8"/>
    <w:pPr>
      <w:keepNext/>
      <w:outlineLvl w:val="2"/>
    </w:pPr>
    <w:rPr>
      <w:b/>
      <w:bCs/>
      <w:i/>
      <w:iCs/>
      <w:color w:val="000000"/>
    </w:rPr>
  </w:style>
  <w:style w:type="paragraph" w:styleId="4">
    <w:name w:val="heading 4"/>
    <w:basedOn w:val="a"/>
    <w:next w:val="a"/>
    <w:link w:val="40"/>
    <w:semiHidden/>
    <w:unhideWhenUsed/>
    <w:qFormat/>
    <w:rsid w:val="00201A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ootnote Reference Number,сноска,Знак сноски-FN,Ciae niinee-FN,Знак сноски 1,fr,Used by Word for Help footnote symbols,Знак сноски Знак Char,сноска Знак1 Char Char,Знак сноски 1 Знак,Footnote reference number,Footnote symbol,ftref"/>
    <w:uiPriority w:val="99"/>
    <w:qFormat/>
    <w:rsid w:val="00B953F5"/>
    <w:rPr>
      <w:vertAlign w:val="superscript"/>
    </w:rPr>
  </w:style>
  <w:style w:type="paragraph" w:styleId="a5">
    <w:name w:val="footnote text"/>
    <w:aliases w:val="Fu?note,Fußnote,Текст сноски Знак1,Текст сноски Знак Знак,FuЯnote Знак Знак,Fu?note Знак Знак,FuЯnote Знак1,Fu?note Знак1,Podrozdział Знак Знак,Footnote Знак Знак,WB-FuЯnotentext Знак Знак,WB-FuЯnotentext Char Char Знак Знак,Знак,fn"/>
    <w:basedOn w:val="a"/>
    <w:link w:val="a6"/>
    <w:uiPriority w:val="99"/>
    <w:qFormat/>
    <w:rsid w:val="00553BCF"/>
  </w:style>
  <w:style w:type="paragraph" w:styleId="a7">
    <w:name w:val="header"/>
    <w:basedOn w:val="a"/>
    <w:rsid w:val="00553BCF"/>
    <w:pPr>
      <w:tabs>
        <w:tab w:val="center" w:pos="4677"/>
        <w:tab w:val="right" w:pos="9355"/>
      </w:tabs>
    </w:pPr>
  </w:style>
  <w:style w:type="paragraph" w:styleId="a8">
    <w:name w:val="footer"/>
    <w:basedOn w:val="a"/>
    <w:link w:val="a9"/>
    <w:uiPriority w:val="99"/>
    <w:rsid w:val="00553BCF"/>
    <w:pPr>
      <w:tabs>
        <w:tab w:val="center" w:pos="4677"/>
        <w:tab w:val="right" w:pos="9355"/>
      </w:tabs>
    </w:pPr>
  </w:style>
  <w:style w:type="paragraph" w:styleId="30">
    <w:name w:val="Body Text Indent 3"/>
    <w:basedOn w:val="a"/>
    <w:rsid w:val="0065011C"/>
    <w:pPr>
      <w:spacing w:line="360" w:lineRule="auto"/>
      <w:ind w:firstLine="720"/>
      <w:jc w:val="both"/>
    </w:pPr>
    <w:rPr>
      <w:sz w:val="24"/>
      <w:szCs w:val="24"/>
      <w:lang w:val="uk-UA"/>
    </w:rPr>
  </w:style>
  <w:style w:type="paragraph" w:styleId="aa">
    <w:name w:val="Body Text Indent"/>
    <w:basedOn w:val="a"/>
    <w:rsid w:val="0035772B"/>
    <w:pPr>
      <w:spacing w:after="120"/>
      <w:ind w:left="283"/>
    </w:pPr>
  </w:style>
  <w:style w:type="character" w:styleId="ab">
    <w:name w:val="page number"/>
    <w:basedOn w:val="a0"/>
    <w:rsid w:val="0035772B"/>
  </w:style>
  <w:style w:type="character" w:customStyle="1" w:styleId="text">
    <w:name w:val="text"/>
    <w:basedOn w:val="a0"/>
    <w:rsid w:val="008D5401"/>
  </w:style>
  <w:style w:type="character" w:styleId="ac">
    <w:name w:val="Hyperlink"/>
    <w:uiPriority w:val="99"/>
    <w:rsid w:val="00016EC9"/>
    <w:rPr>
      <w:color w:val="0000FF"/>
      <w:u w:val="single"/>
    </w:rPr>
  </w:style>
  <w:style w:type="character" w:styleId="ad">
    <w:name w:val="FollowedHyperlink"/>
    <w:rsid w:val="006E076C"/>
    <w:rPr>
      <w:color w:val="800080"/>
      <w:u w:val="single"/>
    </w:rPr>
  </w:style>
  <w:style w:type="character" w:customStyle="1" w:styleId="longtext">
    <w:name w:val="long_text"/>
    <w:basedOn w:val="a0"/>
    <w:rsid w:val="00636C8D"/>
  </w:style>
  <w:style w:type="paragraph" w:styleId="ae">
    <w:name w:val="Body Text"/>
    <w:basedOn w:val="a"/>
    <w:rsid w:val="003B47B5"/>
    <w:pPr>
      <w:spacing w:after="120"/>
    </w:pPr>
  </w:style>
  <w:style w:type="character" w:styleId="HTML">
    <w:name w:val="HTML Cite"/>
    <w:rsid w:val="00D53183"/>
    <w:rPr>
      <w:i w:val="0"/>
      <w:iCs w:val="0"/>
      <w:color w:val="008000"/>
    </w:rPr>
  </w:style>
  <w:style w:type="paragraph" w:styleId="af">
    <w:name w:val="Balloon Text"/>
    <w:basedOn w:val="a"/>
    <w:semiHidden/>
    <w:rsid w:val="00256FB6"/>
    <w:rPr>
      <w:rFonts w:ascii="Tahoma" w:hAnsi="Tahoma" w:cs="Tahoma"/>
      <w:sz w:val="16"/>
      <w:szCs w:val="16"/>
    </w:rPr>
  </w:style>
  <w:style w:type="character" w:customStyle="1" w:styleId="googqs-tidbitgoogqs-tidbit-0">
    <w:name w:val="goog_qs-tidbit goog_qs-tidbit-0"/>
    <w:basedOn w:val="a0"/>
    <w:rsid w:val="00096E62"/>
  </w:style>
  <w:style w:type="character" w:styleId="HTML0">
    <w:name w:val="HTML Acronym"/>
    <w:basedOn w:val="a0"/>
    <w:rsid w:val="00096E62"/>
  </w:style>
  <w:style w:type="character" w:styleId="af0">
    <w:name w:val="Strong"/>
    <w:uiPriority w:val="22"/>
    <w:qFormat/>
    <w:rsid w:val="00AF3487"/>
    <w:rPr>
      <w:b/>
      <w:bCs/>
    </w:rPr>
  </w:style>
  <w:style w:type="paragraph" w:styleId="HTML1">
    <w:name w:val="HTML Preformatted"/>
    <w:basedOn w:val="a"/>
    <w:link w:val="HTML2"/>
    <w:uiPriority w:val="99"/>
    <w:rsid w:val="003F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googqs-tidbit-1">
    <w:name w:val="goog_qs-tidbit-1"/>
    <w:basedOn w:val="a0"/>
    <w:rsid w:val="003F1F17"/>
  </w:style>
  <w:style w:type="character" w:customStyle="1" w:styleId="googqs-tidbit-2">
    <w:name w:val="goog_qs-tidbit-2"/>
    <w:basedOn w:val="a0"/>
    <w:rsid w:val="003F1F17"/>
  </w:style>
  <w:style w:type="paragraph" w:customStyle="1" w:styleId="11">
    <w:name w:val="Обычный (веб)1"/>
    <w:basedOn w:val="a"/>
    <w:uiPriority w:val="99"/>
    <w:unhideWhenUsed/>
    <w:rsid w:val="00E61DEC"/>
    <w:pPr>
      <w:spacing w:before="100" w:beforeAutospacing="1" w:after="100" w:afterAutospacing="1"/>
    </w:pPr>
    <w:rPr>
      <w:sz w:val="24"/>
      <w:szCs w:val="24"/>
    </w:rPr>
  </w:style>
  <w:style w:type="character" w:customStyle="1" w:styleId="hps">
    <w:name w:val="hps"/>
    <w:uiPriority w:val="99"/>
    <w:rsid w:val="00624CAB"/>
  </w:style>
  <w:style w:type="character" w:customStyle="1" w:styleId="shorttext">
    <w:name w:val="short_text"/>
    <w:rsid w:val="00624CAB"/>
  </w:style>
  <w:style w:type="character" w:customStyle="1" w:styleId="hpsalt-edited">
    <w:name w:val="hps alt-edited"/>
    <w:rsid w:val="00C16A95"/>
  </w:style>
  <w:style w:type="character" w:customStyle="1" w:styleId="10">
    <w:name w:val="Заголовок 1 Знак"/>
    <w:link w:val="1"/>
    <w:uiPriority w:val="9"/>
    <w:rsid w:val="00607E27"/>
    <w:rPr>
      <w:rFonts w:ascii="Cambria" w:hAnsi="Cambria"/>
      <w:b/>
      <w:bCs/>
      <w:kern w:val="32"/>
      <w:sz w:val="32"/>
      <w:szCs w:val="32"/>
      <w:lang w:val="ru-RU" w:eastAsia="ru-RU" w:bidi="ar-SA"/>
    </w:rPr>
  </w:style>
  <w:style w:type="character" w:customStyle="1" w:styleId="atn">
    <w:name w:val="atn"/>
    <w:rsid w:val="00607E27"/>
  </w:style>
  <w:style w:type="table" w:customStyle="1" w:styleId="12">
    <w:name w:val="Сетка таблицы1"/>
    <w:basedOn w:val="a1"/>
    <w:next w:val="a3"/>
    <w:uiPriority w:val="59"/>
    <w:rsid w:val="00AB0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ocked/>
    <w:rsid w:val="00DC1940"/>
    <w:rPr>
      <w:rFonts w:ascii="Cambria" w:hAnsi="Cambria"/>
      <w:b/>
      <w:bCs/>
      <w:kern w:val="32"/>
      <w:sz w:val="32"/>
      <w:szCs w:val="32"/>
      <w:lang w:val="ru-RU" w:eastAsia="ru-RU" w:bidi="ar-SA"/>
    </w:rPr>
  </w:style>
  <w:style w:type="character" w:customStyle="1" w:styleId="a6">
    <w:name w:val="Текст сноски Знак"/>
    <w:aliases w:val="Fu?note Знак,Fußnote Знак,Текст сноски Знак1 Знак,Текст сноски Знак Знак Знак,FuЯnote Знак Знак Знак,Fu?note Знак Знак Знак,FuЯnote Знак1 Знак,Fu?note Знак1 Знак,Podrozdział Знак Знак Знак,Footnote Знак Знак Знак,Знак Знак,fn Знак"/>
    <w:link w:val="a5"/>
    <w:uiPriority w:val="99"/>
    <w:qFormat/>
    <w:locked/>
    <w:rsid w:val="00DC1940"/>
    <w:rPr>
      <w:lang w:val="ru-RU" w:eastAsia="ru-RU" w:bidi="ar-SA"/>
    </w:rPr>
  </w:style>
  <w:style w:type="table" w:customStyle="1" w:styleId="21">
    <w:name w:val="Сетка таблицы2"/>
    <w:basedOn w:val="a1"/>
    <w:next w:val="a3"/>
    <w:uiPriority w:val="59"/>
    <w:rsid w:val="007C1E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2"/>
    <w:uiPriority w:val="34"/>
    <w:qFormat/>
    <w:rsid w:val="00184510"/>
    <w:pPr>
      <w:ind w:left="720"/>
      <w:contextualSpacing/>
    </w:pPr>
  </w:style>
  <w:style w:type="paragraph" w:customStyle="1" w:styleId="-11">
    <w:name w:val="Цветной список - Акцент 11"/>
    <w:basedOn w:val="a"/>
    <w:uiPriority w:val="34"/>
    <w:qFormat/>
    <w:rsid w:val="003D476A"/>
    <w:pPr>
      <w:spacing w:after="160" w:line="259" w:lineRule="auto"/>
      <w:ind w:left="720"/>
      <w:contextualSpacing/>
    </w:pPr>
    <w:rPr>
      <w:rFonts w:ascii="Calibri" w:eastAsia="Calibri" w:hAnsi="Calibri"/>
      <w:sz w:val="22"/>
      <w:szCs w:val="22"/>
      <w:lang w:eastAsia="en-US"/>
    </w:rPr>
  </w:style>
  <w:style w:type="character" w:customStyle="1" w:styleId="HTML2">
    <w:name w:val="Стандартный HTML Знак"/>
    <w:link w:val="HTML1"/>
    <w:uiPriority w:val="99"/>
    <w:rsid w:val="00793528"/>
    <w:rPr>
      <w:rFonts w:ascii="Courier New" w:hAnsi="Courier New" w:cs="Courier New"/>
    </w:rPr>
  </w:style>
  <w:style w:type="character" w:styleId="af3">
    <w:name w:val="Emphasis"/>
    <w:uiPriority w:val="20"/>
    <w:qFormat/>
    <w:rsid w:val="00A74F8E"/>
    <w:rPr>
      <w:i/>
      <w:iCs/>
    </w:rPr>
  </w:style>
  <w:style w:type="character" w:customStyle="1" w:styleId="a9">
    <w:name w:val="Нижний колонтитул Знак"/>
    <w:basedOn w:val="a0"/>
    <w:link w:val="a8"/>
    <w:uiPriority w:val="99"/>
    <w:rsid w:val="00AD7163"/>
  </w:style>
  <w:style w:type="paragraph" w:styleId="af4">
    <w:name w:val="Revision"/>
    <w:hidden/>
    <w:uiPriority w:val="99"/>
    <w:semiHidden/>
    <w:rsid w:val="0099093F"/>
    <w:rPr>
      <w:lang w:val="ru-RU" w:eastAsia="ru-RU"/>
    </w:rPr>
  </w:style>
  <w:style w:type="paragraph" w:customStyle="1" w:styleId="13">
    <w:name w:val="Абзац списка1"/>
    <w:basedOn w:val="a"/>
    <w:rsid w:val="003E4B77"/>
    <w:pPr>
      <w:spacing w:after="200" w:line="276" w:lineRule="auto"/>
      <w:ind w:left="720"/>
      <w:contextualSpacing/>
    </w:pPr>
    <w:rPr>
      <w:rFonts w:ascii="Calibri" w:hAnsi="Calibri"/>
      <w:sz w:val="22"/>
      <w:szCs w:val="22"/>
    </w:rPr>
  </w:style>
  <w:style w:type="character" w:customStyle="1" w:styleId="spelle">
    <w:name w:val="spelle"/>
    <w:rsid w:val="00362AE5"/>
  </w:style>
  <w:style w:type="character" w:customStyle="1" w:styleId="af2">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1"/>
    <w:uiPriority w:val="34"/>
    <w:qFormat/>
    <w:rsid w:val="00E40797"/>
    <w:rPr>
      <w:lang w:val="ru-RU" w:eastAsia="ru-RU"/>
    </w:rPr>
  </w:style>
  <w:style w:type="character" w:customStyle="1" w:styleId="rvts9">
    <w:name w:val="rvts9"/>
    <w:rsid w:val="00E4580C"/>
  </w:style>
  <w:style w:type="character" w:customStyle="1" w:styleId="20">
    <w:name w:val="Заголовок 2 Знак"/>
    <w:link w:val="2"/>
    <w:uiPriority w:val="9"/>
    <w:locked/>
    <w:rsid w:val="009A6845"/>
    <w:rPr>
      <w:sz w:val="24"/>
      <w:szCs w:val="24"/>
      <w:lang w:eastAsia="ru-RU"/>
    </w:rPr>
  </w:style>
  <w:style w:type="character" w:styleId="af5">
    <w:name w:val="annotation reference"/>
    <w:semiHidden/>
    <w:unhideWhenUsed/>
    <w:rsid w:val="00C40AF4"/>
    <w:rPr>
      <w:sz w:val="16"/>
      <w:szCs w:val="16"/>
    </w:rPr>
  </w:style>
  <w:style w:type="paragraph" w:styleId="af6">
    <w:name w:val="annotation text"/>
    <w:basedOn w:val="a"/>
    <w:link w:val="af7"/>
    <w:semiHidden/>
    <w:unhideWhenUsed/>
    <w:rsid w:val="00C40AF4"/>
  </w:style>
  <w:style w:type="character" w:customStyle="1" w:styleId="af7">
    <w:name w:val="Текст примечания Знак"/>
    <w:basedOn w:val="a0"/>
    <w:link w:val="af6"/>
    <w:semiHidden/>
    <w:rsid w:val="00C40AF4"/>
  </w:style>
  <w:style w:type="paragraph" w:styleId="af8">
    <w:name w:val="annotation subject"/>
    <w:basedOn w:val="af6"/>
    <w:next w:val="af6"/>
    <w:link w:val="af9"/>
    <w:semiHidden/>
    <w:unhideWhenUsed/>
    <w:rsid w:val="00C40AF4"/>
    <w:rPr>
      <w:b/>
      <w:bCs/>
    </w:rPr>
  </w:style>
  <w:style w:type="character" w:customStyle="1" w:styleId="af9">
    <w:name w:val="Тема примечания Знак"/>
    <w:link w:val="af8"/>
    <w:semiHidden/>
    <w:rsid w:val="00C40AF4"/>
    <w:rPr>
      <w:b/>
      <w:bCs/>
    </w:rPr>
  </w:style>
  <w:style w:type="character" w:customStyle="1" w:styleId="sr-only">
    <w:name w:val="sr-only"/>
    <w:rsid w:val="005D415D"/>
  </w:style>
  <w:style w:type="character" w:customStyle="1" w:styleId="author-ref">
    <w:name w:val="author-ref"/>
    <w:rsid w:val="005D415D"/>
  </w:style>
  <w:style w:type="character" w:customStyle="1" w:styleId="title-text">
    <w:name w:val="title-text"/>
    <w:rsid w:val="005D415D"/>
  </w:style>
  <w:style w:type="character" w:customStyle="1" w:styleId="14">
    <w:name w:val="Заголовок1"/>
    <w:rsid w:val="002213E4"/>
  </w:style>
  <w:style w:type="paragraph" w:customStyle="1" w:styleId="statut">
    <w:name w:val="statut"/>
    <w:basedOn w:val="a"/>
    <w:rsid w:val="00B662A0"/>
    <w:pPr>
      <w:spacing w:before="100" w:beforeAutospacing="1" w:after="100" w:afterAutospacing="1"/>
    </w:pPr>
    <w:rPr>
      <w:sz w:val="24"/>
      <w:szCs w:val="24"/>
      <w:lang w:val="uk-UA" w:eastAsia="uk-UA"/>
    </w:rPr>
  </w:style>
  <w:style w:type="paragraph" w:customStyle="1" w:styleId="typedudocumentcp">
    <w:name w:val="typedudocument_cp"/>
    <w:basedOn w:val="a"/>
    <w:rsid w:val="00B662A0"/>
    <w:pPr>
      <w:spacing w:before="100" w:beforeAutospacing="1" w:after="100" w:afterAutospacing="1"/>
    </w:pPr>
    <w:rPr>
      <w:sz w:val="24"/>
      <w:szCs w:val="24"/>
      <w:lang w:val="uk-UA" w:eastAsia="uk-UA"/>
    </w:rPr>
  </w:style>
  <w:style w:type="paragraph" w:customStyle="1" w:styleId="titreobjetcp">
    <w:name w:val="titreobjet_cp"/>
    <w:basedOn w:val="a"/>
    <w:rsid w:val="00B662A0"/>
    <w:pPr>
      <w:spacing w:before="100" w:beforeAutospacing="1" w:after="100" w:afterAutospacing="1"/>
    </w:pPr>
    <w:rPr>
      <w:sz w:val="24"/>
      <w:szCs w:val="24"/>
      <w:lang w:val="uk-UA" w:eastAsia="uk-UA"/>
    </w:rPr>
  </w:style>
  <w:style w:type="paragraph" w:styleId="afa">
    <w:name w:val="Normal (Web)"/>
    <w:basedOn w:val="a"/>
    <w:uiPriority w:val="99"/>
    <w:semiHidden/>
    <w:unhideWhenUsed/>
    <w:rsid w:val="00865A33"/>
    <w:pPr>
      <w:spacing w:before="100" w:beforeAutospacing="1" w:after="100" w:afterAutospacing="1"/>
    </w:pPr>
    <w:rPr>
      <w:sz w:val="24"/>
      <w:szCs w:val="24"/>
    </w:rPr>
  </w:style>
  <w:style w:type="character" w:customStyle="1" w:styleId="m-node--factsheet--fullauthor">
    <w:name w:val="m-node--factsheet--full__author"/>
    <w:basedOn w:val="a0"/>
    <w:rsid w:val="004E3E75"/>
  </w:style>
  <w:style w:type="character" w:customStyle="1" w:styleId="40">
    <w:name w:val="Заголовок 4 Знак"/>
    <w:basedOn w:val="a0"/>
    <w:link w:val="4"/>
    <w:semiHidden/>
    <w:rsid w:val="00201A3A"/>
    <w:rPr>
      <w:rFonts w:asciiTheme="majorHAnsi" w:eastAsiaTheme="majorEastAsia" w:hAnsiTheme="majorHAnsi" w:cstheme="majorBidi"/>
      <w:i/>
      <w:iCs/>
      <w:color w:val="2F5496" w:themeColor="accent1" w:themeShade="BF"/>
      <w:lang w:val="ru-RU" w:eastAsia="ru-RU"/>
    </w:rPr>
  </w:style>
  <w:style w:type="character" w:customStyle="1" w:styleId="15">
    <w:name w:val="Неразрешенное упоминание1"/>
    <w:basedOn w:val="a0"/>
    <w:uiPriority w:val="99"/>
    <w:semiHidden/>
    <w:unhideWhenUsed/>
    <w:rsid w:val="0030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317">
      <w:bodyDiv w:val="1"/>
      <w:marLeft w:val="0"/>
      <w:marRight w:val="0"/>
      <w:marTop w:val="0"/>
      <w:marBottom w:val="0"/>
      <w:divBdr>
        <w:top w:val="none" w:sz="0" w:space="0" w:color="auto"/>
        <w:left w:val="none" w:sz="0" w:space="0" w:color="auto"/>
        <w:bottom w:val="none" w:sz="0" w:space="0" w:color="auto"/>
        <w:right w:val="none" w:sz="0" w:space="0" w:color="auto"/>
      </w:divBdr>
    </w:div>
    <w:div w:id="77137541">
      <w:bodyDiv w:val="1"/>
      <w:marLeft w:val="0"/>
      <w:marRight w:val="0"/>
      <w:marTop w:val="0"/>
      <w:marBottom w:val="0"/>
      <w:divBdr>
        <w:top w:val="none" w:sz="0" w:space="0" w:color="auto"/>
        <w:left w:val="none" w:sz="0" w:space="0" w:color="auto"/>
        <w:bottom w:val="none" w:sz="0" w:space="0" w:color="auto"/>
        <w:right w:val="none" w:sz="0" w:space="0" w:color="auto"/>
      </w:divBdr>
    </w:div>
    <w:div w:id="78912344">
      <w:bodyDiv w:val="1"/>
      <w:marLeft w:val="0"/>
      <w:marRight w:val="0"/>
      <w:marTop w:val="0"/>
      <w:marBottom w:val="0"/>
      <w:divBdr>
        <w:top w:val="none" w:sz="0" w:space="0" w:color="auto"/>
        <w:left w:val="none" w:sz="0" w:space="0" w:color="auto"/>
        <w:bottom w:val="none" w:sz="0" w:space="0" w:color="auto"/>
        <w:right w:val="none" w:sz="0" w:space="0" w:color="auto"/>
      </w:divBdr>
    </w:div>
    <w:div w:id="120348011">
      <w:bodyDiv w:val="1"/>
      <w:marLeft w:val="0"/>
      <w:marRight w:val="0"/>
      <w:marTop w:val="0"/>
      <w:marBottom w:val="0"/>
      <w:divBdr>
        <w:top w:val="none" w:sz="0" w:space="0" w:color="auto"/>
        <w:left w:val="none" w:sz="0" w:space="0" w:color="auto"/>
        <w:bottom w:val="none" w:sz="0" w:space="0" w:color="auto"/>
        <w:right w:val="none" w:sz="0" w:space="0" w:color="auto"/>
      </w:divBdr>
    </w:div>
    <w:div w:id="193999481">
      <w:bodyDiv w:val="1"/>
      <w:marLeft w:val="0"/>
      <w:marRight w:val="0"/>
      <w:marTop w:val="0"/>
      <w:marBottom w:val="0"/>
      <w:divBdr>
        <w:top w:val="none" w:sz="0" w:space="0" w:color="auto"/>
        <w:left w:val="none" w:sz="0" w:space="0" w:color="auto"/>
        <w:bottom w:val="none" w:sz="0" w:space="0" w:color="auto"/>
        <w:right w:val="none" w:sz="0" w:space="0" w:color="auto"/>
      </w:divBdr>
    </w:div>
    <w:div w:id="230847949">
      <w:bodyDiv w:val="1"/>
      <w:marLeft w:val="0"/>
      <w:marRight w:val="0"/>
      <w:marTop w:val="0"/>
      <w:marBottom w:val="0"/>
      <w:divBdr>
        <w:top w:val="none" w:sz="0" w:space="0" w:color="auto"/>
        <w:left w:val="none" w:sz="0" w:space="0" w:color="auto"/>
        <w:bottom w:val="none" w:sz="0" w:space="0" w:color="auto"/>
        <w:right w:val="none" w:sz="0" w:space="0" w:color="auto"/>
      </w:divBdr>
      <w:divsChild>
        <w:div w:id="1021471881">
          <w:marLeft w:val="706"/>
          <w:marRight w:val="0"/>
          <w:marTop w:val="180"/>
          <w:marBottom w:val="0"/>
          <w:divBdr>
            <w:top w:val="none" w:sz="0" w:space="0" w:color="auto"/>
            <w:left w:val="none" w:sz="0" w:space="0" w:color="auto"/>
            <w:bottom w:val="none" w:sz="0" w:space="0" w:color="auto"/>
            <w:right w:val="none" w:sz="0" w:space="0" w:color="auto"/>
          </w:divBdr>
        </w:div>
        <w:div w:id="2078433401">
          <w:marLeft w:val="706"/>
          <w:marRight w:val="0"/>
          <w:marTop w:val="180"/>
          <w:marBottom w:val="0"/>
          <w:divBdr>
            <w:top w:val="none" w:sz="0" w:space="0" w:color="auto"/>
            <w:left w:val="none" w:sz="0" w:space="0" w:color="auto"/>
            <w:bottom w:val="none" w:sz="0" w:space="0" w:color="auto"/>
            <w:right w:val="none" w:sz="0" w:space="0" w:color="auto"/>
          </w:divBdr>
        </w:div>
        <w:div w:id="992948135">
          <w:marLeft w:val="706"/>
          <w:marRight w:val="0"/>
          <w:marTop w:val="180"/>
          <w:marBottom w:val="0"/>
          <w:divBdr>
            <w:top w:val="none" w:sz="0" w:space="0" w:color="auto"/>
            <w:left w:val="none" w:sz="0" w:space="0" w:color="auto"/>
            <w:bottom w:val="none" w:sz="0" w:space="0" w:color="auto"/>
            <w:right w:val="none" w:sz="0" w:space="0" w:color="auto"/>
          </w:divBdr>
        </w:div>
        <w:div w:id="1454711507">
          <w:marLeft w:val="706"/>
          <w:marRight w:val="0"/>
          <w:marTop w:val="180"/>
          <w:marBottom w:val="0"/>
          <w:divBdr>
            <w:top w:val="none" w:sz="0" w:space="0" w:color="auto"/>
            <w:left w:val="none" w:sz="0" w:space="0" w:color="auto"/>
            <w:bottom w:val="none" w:sz="0" w:space="0" w:color="auto"/>
            <w:right w:val="none" w:sz="0" w:space="0" w:color="auto"/>
          </w:divBdr>
        </w:div>
        <w:div w:id="1412458956">
          <w:marLeft w:val="706"/>
          <w:marRight w:val="0"/>
          <w:marTop w:val="180"/>
          <w:marBottom w:val="0"/>
          <w:divBdr>
            <w:top w:val="none" w:sz="0" w:space="0" w:color="auto"/>
            <w:left w:val="none" w:sz="0" w:space="0" w:color="auto"/>
            <w:bottom w:val="none" w:sz="0" w:space="0" w:color="auto"/>
            <w:right w:val="none" w:sz="0" w:space="0" w:color="auto"/>
          </w:divBdr>
        </w:div>
        <w:div w:id="1514372962">
          <w:marLeft w:val="706"/>
          <w:marRight w:val="0"/>
          <w:marTop w:val="180"/>
          <w:marBottom w:val="0"/>
          <w:divBdr>
            <w:top w:val="none" w:sz="0" w:space="0" w:color="auto"/>
            <w:left w:val="none" w:sz="0" w:space="0" w:color="auto"/>
            <w:bottom w:val="none" w:sz="0" w:space="0" w:color="auto"/>
            <w:right w:val="none" w:sz="0" w:space="0" w:color="auto"/>
          </w:divBdr>
        </w:div>
        <w:div w:id="26832253">
          <w:marLeft w:val="706"/>
          <w:marRight w:val="0"/>
          <w:marTop w:val="180"/>
          <w:marBottom w:val="0"/>
          <w:divBdr>
            <w:top w:val="none" w:sz="0" w:space="0" w:color="auto"/>
            <w:left w:val="none" w:sz="0" w:space="0" w:color="auto"/>
            <w:bottom w:val="none" w:sz="0" w:space="0" w:color="auto"/>
            <w:right w:val="none" w:sz="0" w:space="0" w:color="auto"/>
          </w:divBdr>
        </w:div>
      </w:divsChild>
    </w:div>
    <w:div w:id="265692523">
      <w:bodyDiv w:val="1"/>
      <w:marLeft w:val="0"/>
      <w:marRight w:val="0"/>
      <w:marTop w:val="0"/>
      <w:marBottom w:val="0"/>
      <w:divBdr>
        <w:top w:val="none" w:sz="0" w:space="0" w:color="auto"/>
        <w:left w:val="none" w:sz="0" w:space="0" w:color="auto"/>
        <w:bottom w:val="none" w:sz="0" w:space="0" w:color="auto"/>
        <w:right w:val="none" w:sz="0" w:space="0" w:color="auto"/>
      </w:divBdr>
    </w:div>
    <w:div w:id="271978639">
      <w:bodyDiv w:val="1"/>
      <w:marLeft w:val="0"/>
      <w:marRight w:val="0"/>
      <w:marTop w:val="0"/>
      <w:marBottom w:val="0"/>
      <w:divBdr>
        <w:top w:val="none" w:sz="0" w:space="0" w:color="auto"/>
        <w:left w:val="none" w:sz="0" w:space="0" w:color="auto"/>
        <w:bottom w:val="none" w:sz="0" w:space="0" w:color="auto"/>
        <w:right w:val="none" w:sz="0" w:space="0" w:color="auto"/>
      </w:divBdr>
    </w:div>
    <w:div w:id="275795118">
      <w:bodyDiv w:val="1"/>
      <w:marLeft w:val="0"/>
      <w:marRight w:val="0"/>
      <w:marTop w:val="0"/>
      <w:marBottom w:val="0"/>
      <w:divBdr>
        <w:top w:val="none" w:sz="0" w:space="0" w:color="auto"/>
        <w:left w:val="none" w:sz="0" w:space="0" w:color="auto"/>
        <w:bottom w:val="none" w:sz="0" w:space="0" w:color="auto"/>
        <w:right w:val="none" w:sz="0" w:space="0" w:color="auto"/>
      </w:divBdr>
    </w:div>
    <w:div w:id="289408308">
      <w:bodyDiv w:val="1"/>
      <w:marLeft w:val="0"/>
      <w:marRight w:val="0"/>
      <w:marTop w:val="0"/>
      <w:marBottom w:val="0"/>
      <w:divBdr>
        <w:top w:val="none" w:sz="0" w:space="0" w:color="auto"/>
        <w:left w:val="none" w:sz="0" w:space="0" w:color="auto"/>
        <w:bottom w:val="none" w:sz="0" w:space="0" w:color="auto"/>
        <w:right w:val="none" w:sz="0" w:space="0" w:color="auto"/>
      </w:divBdr>
    </w:div>
    <w:div w:id="299849162">
      <w:bodyDiv w:val="1"/>
      <w:marLeft w:val="0"/>
      <w:marRight w:val="0"/>
      <w:marTop w:val="0"/>
      <w:marBottom w:val="0"/>
      <w:divBdr>
        <w:top w:val="none" w:sz="0" w:space="0" w:color="auto"/>
        <w:left w:val="none" w:sz="0" w:space="0" w:color="auto"/>
        <w:bottom w:val="none" w:sz="0" w:space="0" w:color="auto"/>
        <w:right w:val="none" w:sz="0" w:space="0" w:color="auto"/>
      </w:divBdr>
    </w:div>
    <w:div w:id="355620469">
      <w:bodyDiv w:val="1"/>
      <w:marLeft w:val="0"/>
      <w:marRight w:val="0"/>
      <w:marTop w:val="0"/>
      <w:marBottom w:val="0"/>
      <w:divBdr>
        <w:top w:val="none" w:sz="0" w:space="0" w:color="auto"/>
        <w:left w:val="none" w:sz="0" w:space="0" w:color="auto"/>
        <w:bottom w:val="none" w:sz="0" w:space="0" w:color="auto"/>
        <w:right w:val="none" w:sz="0" w:space="0" w:color="auto"/>
      </w:divBdr>
    </w:div>
    <w:div w:id="364527998">
      <w:bodyDiv w:val="1"/>
      <w:marLeft w:val="0"/>
      <w:marRight w:val="0"/>
      <w:marTop w:val="0"/>
      <w:marBottom w:val="0"/>
      <w:divBdr>
        <w:top w:val="none" w:sz="0" w:space="0" w:color="auto"/>
        <w:left w:val="none" w:sz="0" w:space="0" w:color="auto"/>
        <w:bottom w:val="none" w:sz="0" w:space="0" w:color="auto"/>
        <w:right w:val="none" w:sz="0" w:space="0" w:color="auto"/>
      </w:divBdr>
    </w:div>
    <w:div w:id="404884336">
      <w:bodyDiv w:val="1"/>
      <w:marLeft w:val="0"/>
      <w:marRight w:val="0"/>
      <w:marTop w:val="0"/>
      <w:marBottom w:val="0"/>
      <w:divBdr>
        <w:top w:val="none" w:sz="0" w:space="0" w:color="auto"/>
        <w:left w:val="none" w:sz="0" w:space="0" w:color="auto"/>
        <w:bottom w:val="none" w:sz="0" w:space="0" w:color="auto"/>
        <w:right w:val="none" w:sz="0" w:space="0" w:color="auto"/>
      </w:divBdr>
    </w:div>
    <w:div w:id="484318892">
      <w:bodyDiv w:val="1"/>
      <w:marLeft w:val="0"/>
      <w:marRight w:val="0"/>
      <w:marTop w:val="0"/>
      <w:marBottom w:val="0"/>
      <w:divBdr>
        <w:top w:val="none" w:sz="0" w:space="0" w:color="auto"/>
        <w:left w:val="none" w:sz="0" w:space="0" w:color="auto"/>
        <w:bottom w:val="none" w:sz="0" w:space="0" w:color="auto"/>
        <w:right w:val="none" w:sz="0" w:space="0" w:color="auto"/>
      </w:divBdr>
    </w:div>
    <w:div w:id="511340461">
      <w:bodyDiv w:val="1"/>
      <w:marLeft w:val="0"/>
      <w:marRight w:val="0"/>
      <w:marTop w:val="0"/>
      <w:marBottom w:val="0"/>
      <w:divBdr>
        <w:top w:val="none" w:sz="0" w:space="0" w:color="auto"/>
        <w:left w:val="none" w:sz="0" w:space="0" w:color="auto"/>
        <w:bottom w:val="none" w:sz="0" w:space="0" w:color="auto"/>
        <w:right w:val="none" w:sz="0" w:space="0" w:color="auto"/>
      </w:divBdr>
    </w:div>
    <w:div w:id="545025283">
      <w:bodyDiv w:val="1"/>
      <w:marLeft w:val="0"/>
      <w:marRight w:val="0"/>
      <w:marTop w:val="0"/>
      <w:marBottom w:val="0"/>
      <w:divBdr>
        <w:top w:val="none" w:sz="0" w:space="0" w:color="auto"/>
        <w:left w:val="none" w:sz="0" w:space="0" w:color="auto"/>
        <w:bottom w:val="none" w:sz="0" w:space="0" w:color="auto"/>
        <w:right w:val="none" w:sz="0" w:space="0" w:color="auto"/>
      </w:divBdr>
    </w:div>
    <w:div w:id="560404644">
      <w:bodyDiv w:val="1"/>
      <w:marLeft w:val="0"/>
      <w:marRight w:val="0"/>
      <w:marTop w:val="0"/>
      <w:marBottom w:val="0"/>
      <w:divBdr>
        <w:top w:val="none" w:sz="0" w:space="0" w:color="auto"/>
        <w:left w:val="none" w:sz="0" w:space="0" w:color="auto"/>
        <w:bottom w:val="none" w:sz="0" w:space="0" w:color="auto"/>
        <w:right w:val="none" w:sz="0" w:space="0" w:color="auto"/>
      </w:divBdr>
    </w:div>
    <w:div w:id="568464378">
      <w:bodyDiv w:val="1"/>
      <w:marLeft w:val="0"/>
      <w:marRight w:val="0"/>
      <w:marTop w:val="0"/>
      <w:marBottom w:val="0"/>
      <w:divBdr>
        <w:top w:val="none" w:sz="0" w:space="0" w:color="auto"/>
        <w:left w:val="none" w:sz="0" w:space="0" w:color="auto"/>
        <w:bottom w:val="none" w:sz="0" w:space="0" w:color="auto"/>
        <w:right w:val="none" w:sz="0" w:space="0" w:color="auto"/>
      </w:divBdr>
      <w:divsChild>
        <w:div w:id="796873695">
          <w:marLeft w:val="0"/>
          <w:marRight w:val="0"/>
          <w:marTop w:val="0"/>
          <w:marBottom w:val="0"/>
          <w:divBdr>
            <w:top w:val="none" w:sz="0" w:space="0" w:color="auto"/>
            <w:left w:val="none" w:sz="0" w:space="0" w:color="auto"/>
            <w:bottom w:val="none" w:sz="0" w:space="0" w:color="auto"/>
            <w:right w:val="none" w:sz="0" w:space="0" w:color="auto"/>
          </w:divBdr>
          <w:divsChild>
            <w:div w:id="1047609019">
              <w:marLeft w:val="0"/>
              <w:marRight w:val="0"/>
              <w:marTop w:val="0"/>
              <w:marBottom w:val="0"/>
              <w:divBdr>
                <w:top w:val="none" w:sz="0" w:space="0" w:color="auto"/>
                <w:left w:val="none" w:sz="0" w:space="0" w:color="auto"/>
                <w:bottom w:val="none" w:sz="0" w:space="0" w:color="auto"/>
                <w:right w:val="none" w:sz="0" w:space="0" w:color="auto"/>
              </w:divBdr>
            </w:div>
          </w:divsChild>
        </w:div>
        <w:div w:id="960264776">
          <w:marLeft w:val="0"/>
          <w:marRight w:val="0"/>
          <w:marTop w:val="0"/>
          <w:marBottom w:val="0"/>
          <w:divBdr>
            <w:top w:val="none" w:sz="0" w:space="0" w:color="auto"/>
            <w:left w:val="none" w:sz="0" w:space="0" w:color="auto"/>
            <w:bottom w:val="none" w:sz="0" w:space="0" w:color="auto"/>
            <w:right w:val="none" w:sz="0" w:space="0" w:color="auto"/>
          </w:divBdr>
          <w:divsChild>
            <w:div w:id="11523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6059">
      <w:bodyDiv w:val="1"/>
      <w:marLeft w:val="0"/>
      <w:marRight w:val="0"/>
      <w:marTop w:val="0"/>
      <w:marBottom w:val="0"/>
      <w:divBdr>
        <w:top w:val="none" w:sz="0" w:space="0" w:color="auto"/>
        <w:left w:val="none" w:sz="0" w:space="0" w:color="auto"/>
        <w:bottom w:val="none" w:sz="0" w:space="0" w:color="auto"/>
        <w:right w:val="none" w:sz="0" w:space="0" w:color="auto"/>
      </w:divBdr>
      <w:divsChild>
        <w:div w:id="1882664404">
          <w:marLeft w:val="547"/>
          <w:marRight w:val="0"/>
          <w:marTop w:val="0"/>
          <w:marBottom w:val="0"/>
          <w:divBdr>
            <w:top w:val="none" w:sz="0" w:space="0" w:color="auto"/>
            <w:left w:val="none" w:sz="0" w:space="0" w:color="auto"/>
            <w:bottom w:val="none" w:sz="0" w:space="0" w:color="auto"/>
            <w:right w:val="none" w:sz="0" w:space="0" w:color="auto"/>
          </w:divBdr>
        </w:div>
      </w:divsChild>
    </w:div>
    <w:div w:id="571502016">
      <w:bodyDiv w:val="1"/>
      <w:marLeft w:val="0"/>
      <w:marRight w:val="0"/>
      <w:marTop w:val="0"/>
      <w:marBottom w:val="0"/>
      <w:divBdr>
        <w:top w:val="none" w:sz="0" w:space="0" w:color="auto"/>
        <w:left w:val="none" w:sz="0" w:space="0" w:color="auto"/>
        <w:bottom w:val="none" w:sz="0" w:space="0" w:color="auto"/>
        <w:right w:val="none" w:sz="0" w:space="0" w:color="auto"/>
      </w:divBdr>
      <w:divsChild>
        <w:div w:id="1476802131">
          <w:marLeft w:val="446"/>
          <w:marRight w:val="0"/>
          <w:marTop w:val="0"/>
          <w:marBottom w:val="0"/>
          <w:divBdr>
            <w:top w:val="none" w:sz="0" w:space="0" w:color="auto"/>
            <w:left w:val="none" w:sz="0" w:space="0" w:color="auto"/>
            <w:bottom w:val="none" w:sz="0" w:space="0" w:color="auto"/>
            <w:right w:val="none" w:sz="0" w:space="0" w:color="auto"/>
          </w:divBdr>
        </w:div>
      </w:divsChild>
    </w:div>
    <w:div w:id="581572537">
      <w:bodyDiv w:val="1"/>
      <w:marLeft w:val="0"/>
      <w:marRight w:val="0"/>
      <w:marTop w:val="0"/>
      <w:marBottom w:val="0"/>
      <w:divBdr>
        <w:top w:val="none" w:sz="0" w:space="0" w:color="auto"/>
        <w:left w:val="none" w:sz="0" w:space="0" w:color="auto"/>
        <w:bottom w:val="none" w:sz="0" w:space="0" w:color="auto"/>
        <w:right w:val="none" w:sz="0" w:space="0" w:color="auto"/>
      </w:divBdr>
      <w:divsChild>
        <w:div w:id="904679400">
          <w:marLeft w:val="0"/>
          <w:marRight w:val="0"/>
          <w:marTop w:val="0"/>
          <w:marBottom w:val="0"/>
          <w:divBdr>
            <w:top w:val="none" w:sz="0" w:space="0" w:color="auto"/>
            <w:left w:val="none" w:sz="0" w:space="0" w:color="auto"/>
            <w:bottom w:val="none" w:sz="0" w:space="0" w:color="auto"/>
            <w:right w:val="none" w:sz="0" w:space="0" w:color="auto"/>
          </w:divBdr>
          <w:divsChild>
            <w:div w:id="1037240949">
              <w:marLeft w:val="0"/>
              <w:marRight w:val="0"/>
              <w:marTop w:val="0"/>
              <w:marBottom w:val="0"/>
              <w:divBdr>
                <w:top w:val="none" w:sz="0" w:space="0" w:color="auto"/>
                <w:left w:val="none" w:sz="0" w:space="0" w:color="auto"/>
                <w:bottom w:val="none" w:sz="0" w:space="0" w:color="auto"/>
                <w:right w:val="none" w:sz="0" w:space="0" w:color="auto"/>
              </w:divBdr>
              <w:divsChild>
                <w:div w:id="1814954496">
                  <w:marLeft w:val="0"/>
                  <w:marRight w:val="0"/>
                  <w:marTop w:val="0"/>
                  <w:marBottom w:val="0"/>
                  <w:divBdr>
                    <w:top w:val="none" w:sz="0" w:space="0" w:color="auto"/>
                    <w:left w:val="none" w:sz="0" w:space="0" w:color="auto"/>
                    <w:bottom w:val="none" w:sz="0" w:space="0" w:color="auto"/>
                    <w:right w:val="none" w:sz="0" w:space="0" w:color="auto"/>
                  </w:divBdr>
                  <w:divsChild>
                    <w:div w:id="1243642955">
                      <w:marLeft w:val="0"/>
                      <w:marRight w:val="0"/>
                      <w:marTop w:val="0"/>
                      <w:marBottom w:val="0"/>
                      <w:divBdr>
                        <w:top w:val="none" w:sz="0" w:space="0" w:color="auto"/>
                        <w:left w:val="none" w:sz="0" w:space="0" w:color="auto"/>
                        <w:bottom w:val="none" w:sz="0" w:space="0" w:color="auto"/>
                        <w:right w:val="none" w:sz="0" w:space="0" w:color="auto"/>
                      </w:divBdr>
                      <w:divsChild>
                        <w:div w:id="482812989">
                          <w:marLeft w:val="0"/>
                          <w:marRight w:val="0"/>
                          <w:marTop w:val="0"/>
                          <w:marBottom w:val="0"/>
                          <w:divBdr>
                            <w:top w:val="none" w:sz="0" w:space="0" w:color="auto"/>
                            <w:left w:val="none" w:sz="0" w:space="0" w:color="auto"/>
                            <w:bottom w:val="none" w:sz="0" w:space="0" w:color="auto"/>
                            <w:right w:val="none" w:sz="0" w:space="0" w:color="auto"/>
                          </w:divBdr>
                          <w:divsChild>
                            <w:div w:id="2012828715">
                              <w:marLeft w:val="0"/>
                              <w:marRight w:val="0"/>
                              <w:marTop w:val="0"/>
                              <w:marBottom w:val="0"/>
                              <w:divBdr>
                                <w:top w:val="none" w:sz="0" w:space="0" w:color="auto"/>
                                <w:left w:val="none" w:sz="0" w:space="0" w:color="auto"/>
                                <w:bottom w:val="none" w:sz="0" w:space="0" w:color="auto"/>
                                <w:right w:val="none" w:sz="0" w:space="0" w:color="auto"/>
                              </w:divBdr>
                              <w:divsChild>
                                <w:div w:id="1156720609">
                                  <w:marLeft w:val="0"/>
                                  <w:marRight w:val="0"/>
                                  <w:marTop w:val="0"/>
                                  <w:marBottom w:val="0"/>
                                  <w:divBdr>
                                    <w:top w:val="none" w:sz="0" w:space="0" w:color="auto"/>
                                    <w:left w:val="none" w:sz="0" w:space="0" w:color="auto"/>
                                    <w:bottom w:val="none" w:sz="0" w:space="0" w:color="auto"/>
                                    <w:right w:val="none" w:sz="0" w:space="0" w:color="auto"/>
                                  </w:divBdr>
                                  <w:divsChild>
                                    <w:div w:id="1185677601">
                                      <w:marLeft w:val="60"/>
                                      <w:marRight w:val="0"/>
                                      <w:marTop w:val="0"/>
                                      <w:marBottom w:val="0"/>
                                      <w:divBdr>
                                        <w:top w:val="none" w:sz="0" w:space="0" w:color="auto"/>
                                        <w:left w:val="none" w:sz="0" w:space="0" w:color="auto"/>
                                        <w:bottom w:val="none" w:sz="0" w:space="0" w:color="auto"/>
                                        <w:right w:val="none" w:sz="0" w:space="0" w:color="auto"/>
                                      </w:divBdr>
                                      <w:divsChild>
                                        <w:div w:id="974485751">
                                          <w:marLeft w:val="0"/>
                                          <w:marRight w:val="0"/>
                                          <w:marTop w:val="0"/>
                                          <w:marBottom w:val="0"/>
                                          <w:divBdr>
                                            <w:top w:val="none" w:sz="0" w:space="0" w:color="auto"/>
                                            <w:left w:val="none" w:sz="0" w:space="0" w:color="auto"/>
                                            <w:bottom w:val="none" w:sz="0" w:space="0" w:color="auto"/>
                                            <w:right w:val="none" w:sz="0" w:space="0" w:color="auto"/>
                                          </w:divBdr>
                                          <w:divsChild>
                                            <w:div w:id="107631350">
                                              <w:marLeft w:val="0"/>
                                              <w:marRight w:val="0"/>
                                              <w:marTop w:val="0"/>
                                              <w:marBottom w:val="120"/>
                                              <w:divBdr>
                                                <w:top w:val="single" w:sz="6" w:space="0" w:color="F5F5F5"/>
                                                <w:left w:val="single" w:sz="6" w:space="0" w:color="F5F5F5"/>
                                                <w:bottom w:val="single" w:sz="6" w:space="0" w:color="F5F5F5"/>
                                                <w:right w:val="single" w:sz="6" w:space="0" w:color="F5F5F5"/>
                                              </w:divBdr>
                                              <w:divsChild>
                                                <w:div w:id="1443766901">
                                                  <w:marLeft w:val="0"/>
                                                  <w:marRight w:val="0"/>
                                                  <w:marTop w:val="0"/>
                                                  <w:marBottom w:val="0"/>
                                                  <w:divBdr>
                                                    <w:top w:val="none" w:sz="0" w:space="0" w:color="auto"/>
                                                    <w:left w:val="none" w:sz="0" w:space="0" w:color="auto"/>
                                                    <w:bottom w:val="none" w:sz="0" w:space="0" w:color="auto"/>
                                                    <w:right w:val="none" w:sz="0" w:space="0" w:color="auto"/>
                                                  </w:divBdr>
                                                  <w:divsChild>
                                                    <w:div w:id="18138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762284">
      <w:bodyDiv w:val="1"/>
      <w:marLeft w:val="0"/>
      <w:marRight w:val="0"/>
      <w:marTop w:val="0"/>
      <w:marBottom w:val="0"/>
      <w:divBdr>
        <w:top w:val="none" w:sz="0" w:space="0" w:color="auto"/>
        <w:left w:val="none" w:sz="0" w:space="0" w:color="auto"/>
        <w:bottom w:val="none" w:sz="0" w:space="0" w:color="auto"/>
        <w:right w:val="none" w:sz="0" w:space="0" w:color="auto"/>
      </w:divBdr>
      <w:divsChild>
        <w:div w:id="2108888910">
          <w:marLeft w:val="0"/>
          <w:marRight w:val="0"/>
          <w:marTop w:val="0"/>
          <w:marBottom w:val="0"/>
          <w:divBdr>
            <w:top w:val="none" w:sz="0" w:space="0" w:color="auto"/>
            <w:left w:val="none" w:sz="0" w:space="0" w:color="auto"/>
            <w:bottom w:val="none" w:sz="0" w:space="0" w:color="auto"/>
            <w:right w:val="none" w:sz="0" w:space="0" w:color="auto"/>
          </w:divBdr>
          <w:divsChild>
            <w:div w:id="757334726">
              <w:marLeft w:val="0"/>
              <w:marRight w:val="0"/>
              <w:marTop w:val="0"/>
              <w:marBottom w:val="0"/>
              <w:divBdr>
                <w:top w:val="none" w:sz="0" w:space="0" w:color="auto"/>
                <w:left w:val="none" w:sz="0" w:space="0" w:color="auto"/>
                <w:bottom w:val="none" w:sz="0" w:space="0" w:color="auto"/>
                <w:right w:val="none" w:sz="0" w:space="0" w:color="auto"/>
              </w:divBdr>
              <w:divsChild>
                <w:div w:id="1635598351">
                  <w:marLeft w:val="0"/>
                  <w:marRight w:val="0"/>
                  <w:marTop w:val="0"/>
                  <w:marBottom w:val="0"/>
                  <w:divBdr>
                    <w:top w:val="none" w:sz="0" w:space="0" w:color="auto"/>
                    <w:left w:val="none" w:sz="0" w:space="0" w:color="auto"/>
                    <w:bottom w:val="none" w:sz="0" w:space="0" w:color="auto"/>
                    <w:right w:val="none" w:sz="0" w:space="0" w:color="auto"/>
                  </w:divBdr>
                  <w:divsChild>
                    <w:div w:id="1429930870">
                      <w:marLeft w:val="0"/>
                      <w:marRight w:val="0"/>
                      <w:marTop w:val="0"/>
                      <w:marBottom w:val="0"/>
                      <w:divBdr>
                        <w:top w:val="none" w:sz="0" w:space="0" w:color="auto"/>
                        <w:left w:val="none" w:sz="0" w:space="0" w:color="auto"/>
                        <w:bottom w:val="none" w:sz="0" w:space="0" w:color="auto"/>
                        <w:right w:val="none" w:sz="0" w:space="0" w:color="auto"/>
                      </w:divBdr>
                      <w:divsChild>
                        <w:div w:id="676536538">
                          <w:marLeft w:val="0"/>
                          <w:marRight w:val="0"/>
                          <w:marTop w:val="0"/>
                          <w:marBottom w:val="0"/>
                          <w:divBdr>
                            <w:top w:val="none" w:sz="0" w:space="0" w:color="auto"/>
                            <w:left w:val="none" w:sz="0" w:space="0" w:color="auto"/>
                            <w:bottom w:val="none" w:sz="0" w:space="0" w:color="auto"/>
                            <w:right w:val="none" w:sz="0" w:space="0" w:color="auto"/>
                          </w:divBdr>
                          <w:divsChild>
                            <w:div w:id="343679123">
                              <w:marLeft w:val="0"/>
                              <w:marRight w:val="0"/>
                              <w:marTop w:val="0"/>
                              <w:marBottom w:val="0"/>
                              <w:divBdr>
                                <w:top w:val="none" w:sz="0" w:space="0" w:color="auto"/>
                                <w:left w:val="none" w:sz="0" w:space="0" w:color="auto"/>
                                <w:bottom w:val="none" w:sz="0" w:space="0" w:color="auto"/>
                                <w:right w:val="none" w:sz="0" w:space="0" w:color="auto"/>
                              </w:divBdr>
                              <w:divsChild>
                                <w:div w:id="33311149">
                                  <w:marLeft w:val="0"/>
                                  <w:marRight w:val="0"/>
                                  <w:marTop w:val="0"/>
                                  <w:marBottom w:val="0"/>
                                  <w:divBdr>
                                    <w:top w:val="none" w:sz="0" w:space="0" w:color="auto"/>
                                    <w:left w:val="none" w:sz="0" w:space="0" w:color="auto"/>
                                    <w:bottom w:val="none" w:sz="0" w:space="0" w:color="auto"/>
                                    <w:right w:val="none" w:sz="0" w:space="0" w:color="auto"/>
                                  </w:divBdr>
                                  <w:divsChild>
                                    <w:div w:id="328680146">
                                      <w:marLeft w:val="60"/>
                                      <w:marRight w:val="0"/>
                                      <w:marTop w:val="0"/>
                                      <w:marBottom w:val="0"/>
                                      <w:divBdr>
                                        <w:top w:val="none" w:sz="0" w:space="0" w:color="auto"/>
                                        <w:left w:val="none" w:sz="0" w:space="0" w:color="auto"/>
                                        <w:bottom w:val="none" w:sz="0" w:space="0" w:color="auto"/>
                                        <w:right w:val="none" w:sz="0" w:space="0" w:color="auto"/>
                                      </w:divBdr>
                                      <w:divsChild>
                                        <w:div w:id="202984874">
                                          <w:marLeft w:val="0"/>
                                          <w:marRight w:val="0"/>
                                          <w:marTop w:val="0"/>
                                          <w:marBottom w:val="0"/>
                                          <w:divBdr>
                                            <w:top w:val="none" w:sz="0" w:space="0" w:color="auto"/>
                                            <w:left w:val="none" w:sz="0" w:space="0" w:color="auto"/>
                                            <w:bottom w:val="none" w:sz="0" w:space="0" w:color="auto"/>
                                            <w:right w:val="none" w:sz="0" w:space="0" w:color="auto"/>
                                          </w:divBdr>
                                          <w:divsChild>
                                            <w:div w:id="33315893">
                                              <w:marLeft w:val="0"/>
                                              <w:marRight w:val="0"/>
                                              <w:marTop w:val="0"/>
                                              <w:marBottom w:val="120"/>
                                              <w:divBdr>
                                                <w:top w:val="single" w:sz="6" w:space="0" w:color="F5F5F5"/>
                                                <w:left w:val="single" w:sz="6" w:space="0" w:color="F5F5F5"/>
                                                <w:bottom w:val="single" w:sz="6" w:space="0" w:color="F5F5F5"/>
                                                <w:right w:val="single" w:sz="6" w:space="0" w:color="F5F5F5"/>
                                              </w:divBdr>
                                              <w:divsChild>
                                                <w:div w:id="1574661952">
                                                  <w:marLeft w:val="0"/>
                                                  <w:marRight w:val="0"/>
                                                  <w:marTop w:val="0"/>
                                                  <w:marBottom w:val="0"/>
                                                  <w:divBdr>
                                                    <w:top w:val="none" w:sz="0" w:space="0" w:color="auto"/>
                                                    <w:left w:val="none" w:sz="0" w:space="0" w:color="auto"/>
                                                    <w:bottom w:val="none" w:sz="0" w:space="0" w:color="auto"/>
                                                    <w:right w:val="none" w:sz="0" w:space="0" w:color="auto"/>
                                                  </w:divBdr>
                                                  <w:divsChild>
                                                    <w:div w:id="1406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785308">
      <w:bodyDiv w:val="1"/>
      <w:marLeft w:val="0"/>
      <w:marRight w:val="0"/>
      <w:marTop w:val="0"/>
      <w:marBottom w:val="0"/>
      <w:divBdr>
        <w:top w:val="none" w:sz="0" w:space="0" w:color="auto"/>
        <w:left w:val="none" w:sz="0" w:space="0" w:color="auto"/>
        <w:bottom w:val="none" w:sz="0" w:space="0" w:color="auto"/>
        <w:right w:val="none" w:sz="0" w:space="0" w:color="auto"/>
      </w:divBdr>
      <w:divsChild>
        <w:div w:id="890045124">
          <w:marLeft w:val="0"/>
          <w:marRight w:val="0"/>
          <w:marTop w:val="0"/>
          <w:marBottom w:val="0"/>
          <w:divBdr>
            <w:top w:val="none" w:sz="0" w:space="0" w:color="auto"/>
            <w:left w:val="none" w:sz="0" w:space="0" w:color="auto"/>
            <w:bottom w:val="none" w:sz="0" w:space="0" w:color="auto"/>
            <w:right w:val="none" w:sz="0" w:space="0" w:color="auto"/>
          </w:divBdr>
          <w:divsChild>
            <w:div w:id="1678849956">
              <w:marLeft w:val="0"/>
              <w:marRight w:val="0"/>
              <w:marTop w:val="0"/>
              <w:marBottom w:val="0"/>
              <w:divBdr>
                <w:top w:val="none" w:sz="0" w:space="0" w:color="auto"/>
                <w:left w:val="none" w:sz="0" w:space="0" w:color="auto"/>
                <w:bottom w:val="none" w:sz="0" w:space="0" w:color="auto"/>
                <w:right w:val="none" w:sz="0" w:space="0" w:color="auto"/>
              </w:divBdr>
              <w:divsChild>
                <w:div w:id="1879469189">
                  <w:marLeft w:val="0"/>
                  <w:marRight w:val="0"/>
                  <w:marTop w:val="0"/>
                  <w:marBottom w:val="0"/>
                  <w:divBdr>
                    <w:top w:val="none" w:sz="0" w:space="0" w:color="auto"/>
                    <w:left w:val="none" w:sz="0" w:space="0" w:color="auto"/>
                    <w:bottom w:val="none" w:sz="0" w:space="0" w:color="auto"/>
                    <w:right w:val="none" w:sz="0" w:space="0" w:color="auto"/>
                  </w:divBdr>
                  <w:divsChild>
                    <w:div w:id="1379433290">
                      <w:marLeft w:val="0"/>
                      <w:marRight w:val="0"/>
                      <w:marTop w:val="0"/>
                      <w:marBottom w:val="0"/>
                      <w:divBdr>
                        <w:top w:val="none" w:sz="0" w:space="0" w:color="auto"/>
                        <w:left w:val="none" w:sz="0" w:space="0" w:color="auto"/>
                        <w:bottom w:val="none" w:sz="0" w:space="0" w:color="auto"/>
                        <w:right w:val="none" w:sz="0" w:space="0" w:color="auto"/>
                      </w:divBdr>
                      <w:divsChild>
                        <w:div w:id="1479804253">
                          <w:marLeft w:val="0"/>
                          <w:marRight w:val="0"/>
                          <w:marTop w:val="0"/>
                          <w:marBottom w:val="0"/>
                          <w:divBdr>
                            <w:top w:val="none" w:sz="0" w:space="0" w:color="auto"/>
                            <w:left w:val="none" w:sz="0" w:space="0" w:color="auto"/>
                            <w:bottom w:val="none" w:sz="0" w:space="0" w:color="auto"/>
                            <w:right w:val="none" w:sz="0" w:space="0" w:color="auto"/>
                          </w:divBdr>
                          <w:divsChild>
                            <w:div w:id="1023508144">
                              <w:marLeft w:val="0"/>
                              <w:marRight w:val="0"/>
                              <w:marTop w:val="0"/>
                              <w:marBottom w:val="0"/>
                              <w:divBdr>
                                <w:top w:val="none" w:sz="0" w:space="0" w:color="auto"/>
                                <w:left w:val="none" w:sz="0" w:space="0" w:color="auto"/>
                                <w:bottom w:val="none" w:sz="0" w:space="0" w:color="auto"/>
                                <w:right w:val="none" w:sz="0" w:space="0" w:color="auto"/>
                              </w:divBdr>
                              <w:divsChild>
                                <w:div w:id="1183010810">
                                  <w:marLeft w:val="0"/>
                                  <w:marRight w:val="0"/>
                                  <w:marTop w:val="0"/>
                                  <w:marBottom w:val="0"/>
                                  <w:divBdr>
                                    <w:top w:val="none" w:sz="0" w:space="0" w:color="auto"/>
                                    <w:left w:val="none" w:sz="0" w:space="0" w:color="auto"/>
                                    <w:bottom w:val="none" w:sz="0" w:space="0" w:color="auto"/>
                                    <w:right w:val="none" w:sz="0" w:space="0" w:color="auto"/>
                                  </w:divBdr>
                                  <w:divsChild>
                                    <w:div w:id="2033919531">
                                      <w:marLeft w:val="60"/>
                                      <w:marRight w:val="0"/>
                                      <w:marTop w:val="0"/>
                                      <w:marBottom w:val="0"/>
                                      <w:divBdr>
                                        <w:top w:val="none" w:sz="0" w:space="0" w:color="auto"/>
                                        <w:left w:val="none" w:sz="0" w:space="0" w:color="auto"/>
                                        <w:bottom w:val="none" w:sz="0" w:space="0" w:color="auto"/>
                                        <w:right w:val="none" w:sz="0" w:space="0" w:color="auto"/>
                                      </w:divBdr>
                                      <w:divsChild>
                                        <w:div w:id="34357713">
                                          <w:marLeft w:val="0"/>
                                          <w:marRight w:val="0"/>
                                          <w:marTop w:val="0"/>
                                          <w:marBottom w:val="0"/>
                                          <w:divBdr>
                                            <w:top w:val="none" w:sz="0" w:space="0" w:color="auto"/>
                                            <w:left w:val="none" w:sz="0" w:space="0" w:color="auto"/>
                                            <w:bottom w:val="none" w:sz="0" w:space="0" w:color="auto"/>
                                            <w:right w:val="none" w:sz="0" w:space="0" w:color="auto"/>
                                          </w:divBdr>
                                          <w:divsChild>
                                            <w:div w:id="1934387871">
                                              <w:marLeft w:val="0"/>
                                              <w:marRight w:val="0"/>
                                              <w:marTop w:val="0"/>
                                              <w:marBottom w:val="120"/>
                                              <w:divBdr>
                                                <w:top w:val="single" w:sz="6" w:space="0" w:color="F5F5F5"/>
                                                <w:left w:val="single" w:sz="6" w:space="0" w:color="F5F5F5"/>
                                                <w:bottom w:val="single" w:sz="6" w:space="0" w:color="F5F5F5"/>
                                                <w:right w:val="single" w:sz="6" w:space="0" w:color="F5F5F5"/>
                                              </w:divBdr>
                                              <w:divsChild>
                                                <w:div w:id="1803768767">
                                                  <w:marLeft w:val="0"/>
                                                  <w:marRight w:val="0"/>
                                                  <w:marTop w:val="0"/>
                                                  <w:marBottom w:val="0"/>
                                                  <w:divBdr>
                                                    <w:top w:val="none" w:sz="0" w:space="0" w:color="auto"/>
                                                    <w:left w:val="none" w:sz="0" w:space="0" w:color="auto"/>
                                                    <w:bottom w:val="none" w:sz="0" w:space="0" w:color="auto"/>
                                                    <w:right w:val="none" w:sz="0" w:space="0" w:color="auto"/>
                                                  </w:divBdr>
                                                  <w:divsChild>
                                                    <w:div w:id="21364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399930">
      <w:bodyDiv w:val="1"/>
      <w:marLeft w:val="0"/>
      <w:marRight w:val="0"/>
      <w:marTop w:val="0"/>
      <w:marBottom w:val="0"/>
      <w:divBdr>
        <w:top w:val="none" w:sz="0" w:space="0" w:color="auto"/>
        <w:left w:val="none" w:sz="0" w:space="0" w:color="auto"/>
        <w:bottom w:val="none" w:sz="0" w:space="0" w:color="auto"/>
        <w:right w:val="none" w:sz="0" w:space="0" w:color="auto"/>
      </w:divBdr>
    </w:div>
    <w:div w:id="654724037">
      <w:bodyDiv w:val="1"/>
      <w:marLeft w:val="0"/>
      <w:marRight w:val="0"/>
      <w:marTop w:val="0"/>
      <w:marBottom w:val="0"/>
      <w:divBdr>
        <w:top w:val="none" w:sz="0" w:space="0" w:color="auto"/>
        <w:left w:val="none" w:sz="0" w:space="0" w:color="auto"/>
        <w:bottom w:val="none" w:sz="0" w:space="0" w:color="auto"/>
        <w:right w:val="none" w:sz="0" w:space="0" w:color="auto"/>
      </w:divBdr>
    </w:div>
    <w:div w:id="705564758">
      <w:bodyDiv w:val="1"/>
      <w:marLeft w:val="0"/>
      <w:marRight w:val="0"/>
      <w:marTop w:val="0"/>
      <w:marBottom w:val="0"/>
      <w:divBdr>
        <w:top w:val="none" w:sz="0" w:space="0" w:color="auto"/>
        <w:left w:val="none" w:sz="0" w:space="0" w:color="auto"/>
        <w:bottom w:val="none" w:sz="0" w:space="0" w:color="auto"/>
        <w:right w:val="none" w:sz="0" w:space="0" w:color="auto"/>
      </w:divBdr>
      <w:divsChild>
        <w:div w:id="1720863997">
          <w:marLeft w:val="0"/>
          <w:marRight w:val="0"/>
          <w:marTop w:val="0"/>
          <w:marBottom w:val="0"/>
          <w:divBdr>
            <w:top w:val="none" w:sz="0" w:space="0" w:color="auto"/>
            <w:left w:val="none" w:sz="0" w:space="0" w:color="auto"/>
            <w:bottom w:val="none" w:sz="0" w:space="0" w:color="auto"/>
            <w:right w:val="none" w:sz="0" w:space="0" w:color="auto"/>
          </w:divBdr>
        </w:div>
      </w:divsChild>
    </w:div>
    <w:div w:id="706637439">
      <w:bodyDiv w:val="1"/>
      <w:marLeft w:val="0"/>
      <w:marRight w:val="0"/>
      <w:marTop w:val="0"/>
      <w:marBottom w:val="0"/>
      <w:divBdr>
        <w:top w:val="none" w:sz="0" w:space="0" w:color="auto"/>
        <w:left w:val="none" w:sz="0" w:space="0" w:color="auto"/>
        <w:bottom w:val="none" w:sz="0" w:space="0" w:color="auto"/>
        <w:right w:val="none" w:sz="0" w:space="0" w:color="auto"/>
      </w:divBdr>
    </w:div>
    <w:div w:id="720978112">
      <w:bodyDiv w:val="1"/>
      <w:marLeft w:val="0"/>
      <w:marRight w:val="0"/>
      <w:marTop w:val="0"/>
      <w:marBottom w:val="0"/>
      <w:divBdr>
        <w:top w:val="none" w:sz="0" w:space="0" w:color="auto"/>
        <w:left w:val="none" w:sz="0" w:space="0" w:color="auto"/>
        <w:bottom w:val="none" w:sz="0" w:space="0" w:color="auto"/>
        <w:right w:val="none" w:sz="0" w:space="0" w:color="auto"/>
      </w:divBdr>
      <w:divsChild>
        <w:div w:id="1910992411">
          <w:marLeft w:val="0"/>
          <w:marRight w:val="0"/>
          <w:marTop w:val="100"/>
          <w:marBottom w:val="100"/>
          <w:divBdr>
            <w:top w:val="none" w:sz="0" w:space="0" w:color="auto"/>
            <w:left w:val="none" w:sz="0" w:space="0" w:color="auto"/>
            <w:bottom w:val="none" w:sz="0" w:space="0" w:color="auto"/>
            <w:right w:val="none" w:sz="0" w:space="0" w:color="auto"/>
          </w:divBdr>
          <w:divsChild>
            <w:div w:id="212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3822">
      <w:bodyDiv w:val="1"/>
      <w:marLeft w:val="0"/>
      <w:marRight w:val="0"/>
      <w:marTop w:val="0"/>
      <w:marBottom w:val="0"/>
      <w:divBdr>
        <w:top w:val="none" w:sz="0" w:space="0" w:color="auto"/>
        <w:left w:val="none" w:sz="0" w:space="0" w:color="auto"/>
        <w:bottom w:val="none" w:sz="0" w:space="0" w:color="auto"/>
        <w:right w:val="none" w:sz="0" w:space="0" w:color="auto"/>
      </w:divBdr>
    </w:div>
    <w:div w:id="792020187">
      <w:bodyDiv w:val="1"/>
      <w:marLeft w:val="0"/>
      <w:marRight w:val="0"/>
      <w:marTop w:val="0"/>
      <w:marBottom w:val="0"/>
      <w:divBdr>
        <w:top w:val="none" w:sz="0" w:space="0" w:color="auto"/>
        <w:left w:val="none" w:sz="0" w:space="0" w:color="auto"/>
        <w:bottom w:val="none" w:sz="0" w:space="0" w:color="auto"/>
        <w:right w:val="none" w:sz="0" w:space="0" w:color="auto"/>
      </w:divBdr>
    </w:div>
    <w:div w:id="799615416">
      <w:bodyDiv w:val="1"/>
      <w:marLeft w:val="0"/>
      <w:marRight w:val="0"/>
      <w:marTop w:val="0"/>
      <w:marBottom w:val="0"/>
      <w:divBdr>
        <w:top w:val="none" w:sz="0" w:space="0" w:color="auto"/>
        <w:left w:val="none" w:sz="0" w:space="0" w:color="auto"/>
        <w:bottom w:val="none" w:sz="0" w:space="0" w:color="auto"/>
        <w:right w:val="none" w:sz="0" w:space="0" w:color="auto"/>
      </w:divBdr>
    </w:div>
    <w:div w:id="803280745">
      <w:bodyDiv w:val="1"/>
      <w:marLeft w:val="0"/>
      <w:marRight w:val="0"/>
      <w:marTop w:val="0"/>
      <w:marBottom w:val="0"/>
      <w:divBdr>
        <w:top w:val="none" w:sz="0" w:space="0" w:color="auto"/>
        <w:left w:val="none" w:sz="0" w:space="0" w:color="auto"/>
        <w:bottom w:val="none" w:sz="0" w:space="0" w:color="auto"/>
        <w:right w:val="none" w:sz="0" w:space="0" w:color="auto"/>
      </w:divBdr>
    </w:div>
    <w:div w:id="845244817">
      <w:bodyDiv w:val="1"/>
      <w:marLeft w:val="0"/>
      <w:marRight w:val="0"/>
      <w:marTop w:val="0"/>
      <w:marBottom w:val="0"/>
      <w:divBdr>
        <w:top w:val="none" w:sz="0" w:space="0" w:color="auto"/>
        <w:left w:val="none" w:sz="0" w:space="0" w:color="auto"/>
        <w:bottom w:val="none" w:sz="0" w:space="0" w:color="auto"/>
        <w:right w:val="none" w:sz="0" w:space="0" w:color="auto"/>
      </w:divBdr>
      <w:divsChild>
        <w:div w:id="510682777">
          <w:marLeft w:val="0"/>
          <w:marRight w:val="0"/>
          <w:marTop w:val="0"/>
          <w:marBottom w:val="0"/>
          <w:divBdr>
            <w:top w:val="single" w:sz="4" w:space="8" w:color="74A3F1"/>
            <w:left w:val="single" w:sz="4" w:space="3" w:color="74A3F1"/>
            <w:bottom w:val="single" w:sz="4" w:space="5" w:color="74A3F1"/>
            <w:right w:val="single" w:sz="4" w:space="3" w:color="74A3F1"/>
          </w:divBdr>
        </w:div>
      </w:divsChild>
    </w:div>
    <w:div w:id="917712443">
      <w:bodyDiv w:val="1"/>
      <w:marLeft w:val="0"/>
      <w:marRight w:val="0"/>
      <w:marTop w:val="0"/>
      <w:marBottom w:val="0"/>
      <w:divBdr>
        <w:top w:val="none" w:sz="0" w:space="0" w:color="auto"/>
        <w:left w:val="none" w:sz="0" w:space="0" w:color="auto"/>
        <w:bottom w:val="none" w:sz="0" w:space="0" w:color="auto"/>
        <w:right w:val="none" w:sz="0" w:space="0" w:color="auto"/>
      </w:divBdr>
    </w:div>
    <w:div w:id="993754748">
      <w:bodyDiv w:val="1"/>
      <w:marLeft w:val="0"/>
      <w:marRight w:val="0"/>
      <w:marTop w:val="0"/>
      <w:marBottom w:val="0"/>
      <w:divBdr>
        <w:top w:val="none" w:sz="0" w:space="0" w:color="auto"/>
        <w:left w:val="none" w:sz="0" w:space="0" w:color="auto"/>
        <w:bottom w:val="none" w:sz="0" w:space="0" w:color="auto"/>
        <w:right w:val="none" w:sz="0" w:space="0" w:color="auto"/>
      </w:divBdr>
    </w:div>
    <w:div w:id="998845580">
      <w:bodyDiv w:val="1"/>
      <w:marLeft w:val="0"/>
      <w:marRight w:val="0"/>
      <w:marTop w:val="0"/>
      <w:marBottom w:val="0"/>
      <w:divBdr>
        <w:top w:val="none" w:sz="0" w:space="0" w:color="auto"/>
        <w:left w:val="none" w:sz="0" w:space="0" w:color="auto"/>
        <w:bottom w:val="none" w:sz="0" w:space="0" w:color="auto"/>
        <w:right w:val="none" w:sz="0" w:space="0" w:color="auto"/>
      </w:divBdr>
    </w:div>
    <w:div w:id="1008404758">
      <w:bodyDiv w:val="1"/>
      <w:marLeft w:val="0"/>
      <w:marRight w:val="0"/>
      <w:marTop w:val="0"/>
      <w:marBottom w:val="0"/>
      <w:divBdr>
        <w:top w:val="none" w:sz="0" w:space="0" w:color="auto"/>
        <w:left w:val="none" w:sz="0" w:space="0" w:color="auto"/>
        <w:bottom w:val="none" w:sz="0" w:space="0" w:color="auto"/>
        <w:right w:val="none" w:sz="0" w:space="0" w:color="auto"/>
      </w:divBdr>
      <w:divsChild>
        <w:div w:id="116917073">
          <w:marLeft w:val="274"/>
          <w:marRight w:val="0"/>
          <w:marTop w:val="0"/>
          <w:marBottom w:val="0"/>
          <w:divBdr>
            <w:top w:val="none" w:sz="0" w:space="0" w:color="auto"/>
            <w:left w:val="none" w:sz="0" w:space="0" w:color="auto"/>
            <w:bottom w:val="none" w:sz="0" w:space="0" w:color="auto"/>
            <w:right w:val="none" w:sz="0" w:space="0" w:color="auto"/>
          </w:divBdr>
        </w:div>
        <w:div w:id="1102843772">
          <w:marLeft w:val="274"/>
          <w:marRight w:val="0"/>
          <w:marTop w:val="0"/>
          <w:marBottom w:val="0"/>
          <w:divBdr>
            <w:top w:val="none" w:sz="0" w:space="0" w:color="auto"/>
            <w:left w:val="none" w:sz="0" w:space="0" w:color="auto"/>
            <w:bottom w:val="none" w:sz="0" w:space="0" w:color="auto"/>
            <w:right w:val="none" w:sz="0" w:space="0" w:color="auto"/>
          </w:divBdr>
        </w:div>
        <w:div w:id="1139108224">
          <w:marLeft w:val="274"/>
          <w:marRight w:val="0"/>
          <w:marTop w:val="0"/>
          <w:marBottom w:val="0"/>
          <w:divBdr>
            <w:top w:val="none" w:sz="0" w:space="0" w:color="auto"/>
            <w:left w:val="none" w:sz="0" w:space="0" w:color="auto"/>
            <w:bottom w:val="none" w:sz="0" w:space="0" w:color="auto"/>
            <w:right w:val="none" w:sz="0" w:space="0" w:color="auto"/>
          </w:divBdr>
        </w:div>
        <w:div w:id="2010789973">
          <w:marLeft w:val="274"/>
          <w:marRight w:val="0"/>
          <w:marTop w:val="0"/>
          <w:marBottom w:val="0"/>
          <w:divBdr>
            <w:top w:val="none" w:sz="0" w:space="0" w:color="auto"/>
            <w:left w:val="none" w:sz="0" w:space="0" w:color="auto"/>
            <w:bottom w:val="none" w:sz="0" w:space="0" w:color="auto"/>
            <w:right w:val="none" w:sz="0" w:space="0" w:color="auto"/>
          </w:divBdr>
        </w:div>
      </w:divsChild>
    </w:div>
    <w:div w:id="1063260738">
      <w:bodyDiv w:val="1"/>
      <w:marLeft w:val="0"/>
      <w:marRight w:val="0"/>
      <w:marTop w:val="0"/>
      <w:marBottom w:val="0"/>
      <w:divBdr>
        <w:top w:val="none" w:sz="0" w:space="0" w:color="auto"/>
        <w:left w:val="none" w:sz="0" w:space="0" w:color="auto"/>
        <w:bottom w:val="none" w:sz="0" w:space="0" w:color="auto"/>
        <w:right w:val="none" w:sz="0" w:space="0" w:color="auto"/>
      </w:divBdr>
    </w:div>
    <w:div w:id="1131632554">
      <w:bodyDiv w:val="1"/>
      <w:marLeft w:val="0"/>
      <w:marRight w:val="0"/>
      <w:marTop w:val="0"/>
      <w:marBottom w:val="0"/>
      <w:divBdr>
        <w:top w:val="none" w:sz="0" w:space="0" w:color="auto"/>
        <w:left w:val="none" w:sz="0" w:space="0" w:color="auto"/>
        <w:bottom w:val="none" w:sz="0" w:space="0" w:color="auto"/>
        <w:right w:val="none" w:sz="0" w:space="0" w:color="auto"/>
      </w:divBdr>
      <w:divsChild>
        <w:div w:id="697705186">
          <w:marLeft w:val="0"/>
          <w:marRight w:val="0"/>
          <w:marTop w:val="0"/>
          <w:marBottom w:val="0"/>
          <w:divBdr>
            <w:top w:val="none" w:sz="0" w:space="0" w:color="auto"/>
            <w:left w:val="none" w:sz="0" w:space="0" w:color="auto"/>
            <w:bottom w:val="none" w:sz="0" w:space="0" w:color="auto"/>
            <w:right w:val="none" w:sz="0" w:space="0" w:color="auto"/>
          </w:divBdr>
        </w:div>
      </w:divsChild>
    </w:div>
    <w:div w:id="1147087617">
      <w:bodyDiv w:val="1"/>
      <w:marLeft w:val="0"/>
      <w:marRight w:val="0"/>
      <w:marTop w:val="0"/>
      <w:marBottom w:val="0"/>
      <w:divBdr>
        <w:top w:val="none" w:sz="0" w:space="0" w:color="auto"/>
        <w:left w:val="none" w:sz="0" w:space="0" w:color="auto"/>
        <w:bottom w:val="none" w:sz="0" w:space="0" w:color="auto"/>
        <w:right w:val="none" w:sz="0" w:space="0" w:color="auto"/>
      </w:divBdr>
    </w:div>
    <w:div w:id="1191916789">
      <w:bodyDiv w:val="1"/>
      <w:marLeft w:val="0"/>
      <w:marRight w:val="0"/>
      <w:marTop w:val="0"/>
      <w:marBottom w:val="0"/>
      <w:divBdr>
        <w:top w:val="none" w:sz="0" w:space="0" w:color="auto"/>
        <w:left w:val="none" w:sz="0" w:space="0" w:color="auto"/>
        <w:bottom w:val="none" w:sz="0" w:space="0" w:color="auto"/>
        <w:right w:val="none" w:sz="0" w:space="0" w:color="auto"/>
      </w:divBdr>
      <w:divsChild>
        <w:div w:id="857081621">
          <w:marLeft w:val="547"/>
          <w:marRight w:val="0"/>
          <w:marTop w:val="0"/>
          <w:marBottom w:val="0"/>
          <w:divBdr>
            <w:top w:val="none" w:sz="0" w:space="0" w:color="auto"/>
            <w:left w:val="none" w:sz="0" w:space="0" w:color="auto"/>
            <w:bottom w:val="none" w:sz="0" w:space="0" w:color="auto"/>
            <w:right w:val="none" w:sz="0" w:space="0" w:color="auto"/>
          </w:divBdr>
        </w:div>
      </w:divsChild>
    </w:div>
    <w:div w:id="1214729869">
      <w:bodyDiv w:val="1"/>
      <w:marLeft w:val="0"/>
      <w:marRight w:val="0"/>
      <w:marTop w:val="0"/>
      <w:marBottom w:val="0"/>
      <w:divBdr>
        <w:top w:val="none" w:sz="0" w:space="0" w:color="auto"/>
        <w:left w:val="none" w:sz="0" w:space="0" w:color="auto"/>
        <w:bottom w:val="none" w:sz="0" w:space="0" w:color="auto"/>
        <w:right w:val="none" w:sz="0" w:space="0" w:color="auto"/>
      </w:divBdr>
    </w:div>
    <w:div w:id="1219365192">
      <w:bodyDiv w:val="1"/>
      <w:marLeft w:val="0"/>
      <w:marRight w:val="0"/>
      <w:marTop w:val="0"/>
      <w:marBottom w:val="0"/>
      <w:divBdr>
        <w:top w:val="none" w:sz="0" w:space="0" w:color="auto"/>
        <w:left w:val="none" w:sz="0" w:space="0" w:color="auto"/>
        <w:bottom w:val="none" w:sz="0" w:space="0" w:color="auto"/>
        <w:right w:val="none" w:sz="0" w:space="0" w:color="auto"/>
      </w:divBdr>
    </w:div>
    <w:div w:id="1234508245">
      <w:bodyDiv w:val="1"/>
      <w:marLeft w:val="0"/>
      <w:marRight w:val="0"/>
      <w:marTop w:val="0"/>
      <w:marBottom w:val="0"/>
      <w:divBdr>
        <w:top w:val="none" w:sz="0" w:space="0" w:color="auto"/>
        <w:left w:val="none" w:sz="0" w:space="0" w:color="auto"/>
        <w:bottom w:val="none" w:sz="0" w:space="0" w:color="auto"/>
        <w:right w:val="none" w:sz="0" w:space="0" w:color="auto"/>
      </w:divBdr>
      <w:divsChild>
        <w:div w:id="1749963126">
          <w:marLeft w:val="0"/>
          <w:marRight w:val="0"/>
          <w:marTop w:val="0"/>
          <w:marBottom w:val="0"/>
          <w:divBdr>
            <w:top w:val="none" w:sz="0" w:space="0" w:color="auto"/>
            <w:left w:val="none" w:sz="0" w:space="0" w:color="auto"/>
            <w:bottom w:val="none" w:sz="0" w:space="0" w:color="auto"/>
            <w:right w:val="none" w:sz="0" w:space="0" w:color="auto"/>
          </w:divBdr>
          <w:divsChild>
            <w:div w:id="51388261">
              <w:marLeft w:val="0"/>
              <w:marRight w:val="0"/>
              <w:marTop w:val="0"/>
              <w:marBottom w:val="0"/>
              <w:divBdr>
                <w:top w:val="none" w:sz="0" w:space="0" w:color="auto"/>
                <w:left w:val="none" w:sz="0" w:space="0" w:color="auto"/>
                <w:bottom w:val="none" w:sz="0" w:space="0" w:color="auto"/>
                <w:right w:val="none" w:sz="0" w:space="0" w:color="auto"/>
              </w:divBdr>
            </w:div>
            <w:div w:id="526914841">
              <w:marLeft w:val="0"/>
              <w:marRight w:val="0"/>
              <w:marTop w:val="0"/>
              <w:marBottom w:val="0"/>
              <w:divBdr>
                <w:top w:val="none" w:sz="0" w:space="0" w:color="auto"/>
                <w:left w:val="none" w:sz="0" w:space="0" w:color="auto"/>
                <w:bottom w:val="none" w:sz="0" w:space="0" w:color="auto"/>
                <w:right w:val="none" w:sz="0" w:space="0" w:color="auto"/>
              </w:divBdr>
            </w:div>
            <w:div w:id="1719628372">
              <w:marLeft w:val="0"/>
              <w:marRight w:val="0"/>
              <w:marTop w:val="0"/>
              <w:marBottom w:val="0"/>
              <w:divBdr>
                <w:top w:val="none" w:sz="0" w:space="0" w:color="auto"/>
                <w:left w:val="none" w:sz="0" w:space="0" w:color="auto"/>
                <w:bottom w:val="none" w:sz="0" w:space="0" w:color="auto"/>
                <w:right w:val="none" w:sz="0" w:space="0" w:color="auto"/>
              </w:divBdr>
            </w:div>
            <w:div w:id="1881163738">
              <w:marLeft w:val="0"/>
              <w:marRight w:val="0"/>
              <w:marTop w:val="0"/>
              <w:marBottom w:val="0"/>
              <w:divBdr>
                <w:top w:val="none" w:sz="0" w:space="0" w:color="auto"/>
                <w:left w:val="none" w:sz="0" w:space="0" w:color="auto"/>
                <w:bottom w:val="none" w:sz="0" w:space="0" w:color="auto"/>
                <w:right w:val="none" w:sz="0" w:space="0" w:color="auto"/>
              </w:divBdr>
            </w:div>
            <w:div w:id="19592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7572">
      <w:bodyDiv w:val="1"/>
      <w:marLeft w:val="0"/>
      <w:marRight w:val="0"/>
      <w:marTop w:val="0"/>
      <w:marBottom w:val="0"/>
      <w:divBdr>
        <w:top w:val="none" w:sz="0" w:space="0" w:color="auto"/>
        <w:left w:val="none" w:sz="0" w:space="0" w:color="auto"/>
        <w:bottom w:val="none" w:sz="0" w:space="0" w:color="auto"/>
        <w:right w:val="none" w:sz="0" w:space="0" w:color="auto"/>
      </w:divBdr>
    </w:div>
    <w:div w:id="1263803850">
      <w:bodyDiv w:val="1"/>
      <w:marLeft w:val="0"/>
      <w:marRight w:val="0"/>
      <w:marTop w:val="0"/>
      <w:marBottom w:val="0"/>
      <w:divBdr>
        <w:top w:val="none" w:sz="0" w:space="0" w:color="auto"/>
        <w:left w:val="none" w:sz="0" w:space="0" w:color="auto"/>
        <w:bottom w:val="none" w:sz="0" w:space="0" w:color="auto"/>
        <w:right w:val="none" w:sz="0" w:space="0" w:color="auto"/>
      </w:divBdr>
    </w:div>
    <w:div w:id="1273129287">
      <w:bodyDiv w:val="1"/>
      <w:marLeft w:val="0"/>
      <w:marRight w:val="0"/>
      <w:marTop w:val="0"/>
      <w:marBottom w:val="0"/>
      <w:divBdr>
        <w:top w:val="none" w:sz="0" w:space="0" w:color="auto"/>
        <w:left w:val="none" w:sz="0" w:space="0" w:color="auto"/>
        <w:bottom w:val="none" w:sz="0" w:space="0" w:color="auto"/>
        <w:right w:val="none" w:sz="0" w:space="0" w:color="auto"/>
      </w:divBdr>
    </w:div>
    <w:div w:id="1280143389">
      <w:bodyDiv w:val="1"/>
      <w:marLeft w:val="0"/>
      <w:marRight w:val="0"/>
      <w:marTop w:val="0"/>
      <w:marBottom w:val="0"/>
      <w:divBdr>
        <w:top w:val="none" w:sz="0" w:space="0" w:color="auto"/>
        <w:left w:val="none" w:sz="0" w:space="0" w:color="auto"/>
        <w:bottom w:val="none" w:sz="0" w:space="0" w:color="auto"/>
        <w:right w:val="none" w:sz="0" w:space="0" w:color="auto"/>
      </w:divBdr>
    </w:div>
    <w:div w:id="1288585405">
      <w:bodyDiv w:val="1"/>
      <w:marLeft w:val="0"/>
      <w:marRight w:val="0"/>
      <w:marTop w:val="0"/>
      <w:marBottom w:val="0"/>
      <w:divBdr>
        <w:top w:val="none" w:sz="0" w:space="0" w:color="auto"/>
        <w:left w:val="none" w:sz="0" w:space="0" w:color="auto"/>
        <w:bottom w:val="none" w:sz="0" w:space="0" w:color="auto"/>
        <w:right w:val="none" w:sz="0" w:space="0" w:color="auto"/>
      </w:divBdr>
    </w:div>
    <w:div w:id="1316060211">
      <w:bodyDiv w:val="1"/>
      <w:marLeft w:val="0"/>
      <w:marRight w:val="0"/>
      <w:marTop w:val="0"/>
      <w:marBottom w:val="0"/>
      <w:divBdr>
        <w:top w:val="none" w:sz="0" w:space="0" w:color="auto"/>
        <w:left w:val="none" w:sz="0" w:space="0" w:color="auto"/>
        <w:bottom w:val="none" w:sz="0" w:space="0" w:color="auto"/>
        <w:right w:val="none" w:sz="0" w:space="0" w:color="auto"/>
      </w:divBdr>
    </w:div>
    <w:div w:id="1337684443">
      <w:bodyDiv w:val="1"/>
      <w:marLeft w:val="0"/>
      <w:marRight w:val="0"/>
      <w:marTop w:val="0"/>
      <w:marBottom w:val="0"/>
      <w:divBdr>
        <w:top w:val="none" w:sz="0" w:space="0" w:color="auto"/>
        <w:left w:val="none" w:sz="0" w:space="0" w:color="auto"/>
        <w:bottom w:val="none" w:sz="0" w:space="0" w:color="auto"/>
        <w:right w:val="none" w:sz="0" w:space="0" w:color="auto"/>
      </w:divBdr>
    </w:div>
    <w:div w:id="1341160489">
      <w:bodyDiv w:val="1"/>
      <w:marLeft w:val="0"/>
      <w:marRight w:val="0"/>
      <w:marTop w:val="0"/>
      <w:marBottom w:val="0"/>
      <w:divBdr>
        <w:top w:val="none" w:sz="0" w:space="0" w:color="auto"/>
        <w:left w:val="none" w:sz="0" w:space="0" w:color="auto"/>
        <w:bottom w:val="none" w:sz="0" w:space="0" w:color="auto"/>
        <w:right w:val="none" w:sz="0" w:space="0" w:color="auto"/>
      </w:divBdr>
    </w:div>
    <w:div w:id="1346054256">
      <w:bodyDiv w:val="1"/>
      <w:marLeft w:val="0"/>
      <w:marRight w:val="0"/>
      <w:marTop w:val="0"/>
      <w:marBottom w:val="0"/>
      <w:divBdr>
        <w:top w:val="none" w:sz="0" w:space="0" w:color="auto"/>
        <w:left w:val="none" w:sz="0" w:space="0" w:color="auto"/>
        <w:bottom w:val="none" w:sz="0" w:space="0" w:color="auto"/>
        <w:right w:val="none" w:sz="0" w:space="0" w:color="auto"/>
      </w:divBdr>
      <w:divsChild>
        <w:div w:id="1615283163">
          <w:marLeft w:val="0"/>
          <w:marRight w:val="0"/>
          <w:marTop w:val="0"/>
          <w:marBottom w:val="0"/>
          <w:divBdr>
            <w:top w:val="none" w:sz="0" w:space="0" w:color="auto"/>
            <w:left w:val="none" w:sz="0" w:space="0" w:color="auto"/>
            <w:bottom w:val="none" w:sz="0" w:space="0" w:color="auto"/>
            <w:right w:val="none" w:sz="0" w:space="0" w:color="auto"/>
          </w:divBdr>
          <w:divsChild>
            <w:div w:id="582109035">
              <w:marLeft w:val="0"/>
              <w:marRight w:val="0"/>
              <w:marTop w:val="0"/>
              <w:marBottom w:val="0"/>
              <w:divBdr>
                <w:top w:val="none" w:sz="0" w:space="0" w:color="auto"/>
                <w:left w:val="none" w:sz="0" w:space="0" w:color="auto"/>
                <w:bottom w:val="none" w:sz="0" w:space="0" w:color="auto"/>
                <w:right w:val="none" w:sz="0" w:space="0" w:color="auto"/>
              </w:divBdr>
              <w:divsChild>
                <w:div w:id="737361622">
                  <w:marLeft w:val="0"/>
                  <w:marRight w:val="0"/>
                  <w:marTop w:val="0"/>
                  <w:marBottom w:val="0"/>
                  <w:divBdr>
                    <w:top w:val="none" w:sz="0" w:space="0" w:color="auto"/>
                    <w:left w:val="none" w:sz="0" w:space="0" w:color="auto"/>
                    <w:bottom w:val="none" w:sz="0" w:space="0" w:color="auto"/>
                    <w:right w:val="none" w:sz="0" w:space="0" w:color="auto"/>
                  </w:divBdr>
                  <w:divsChild>
                    <w:div w:id="1343164114">
                      <w:marLeft w:val="0"/>
                      <w:marRight w:val="0"/>
                      <w:marTop w:val="0"/>
                      <w:marBottom w:val="0"/>
                      <w:divBdr>
                        <w:top w:val="none" w:sz="0" w:space="0" w:color="auto"/>
                        <w:left w:val="none" w:sz="0" w:space="0" w:color="auto"/>
                        <w:bottom w:val="none" w:sz="0" w:space="0" w:color="auto"/>
                        <w:right w:val="none" w:sz="0" w:space="0" w:color="auto"/>
                      </w:divBdr>
                      <w:divsChild>
                        <w:div w:id="209344994">
                          <w:marLeft w:val="0"/>
                          <w:marRight w:val="0"/>
                          <w:marTop w:val="0"/>
                          <w:marBottom w:val="0"/>
                          <w:divBdr>
                            <w:top w:val="none" w:sz="0" w:space="0" w:color="auto"/>
                            <w:left w:val="none" w:sz="0" w:space="0" w:color="auto"/>
                            <w:bottom w:val="none" w:sz="0" w:space="0" w:color="auto"/>
                            <w:right w:val="none" w:sz="0" w:space="0" w:color="auto"/>
                          </w:divBdr>
                          <w:divsChild>
                            <w:div w:id="604505462">
                              <w:marLeft w:val="0"/>
                              <w:marRight w:val="0"/>
                              <w:marTop w:val="0"/>
                              <w:marBottom w:val="0"/>
                              <w:divBdr>
                                <w:top w:val="none" w:sz="0" w:space="0" w:color="auto"/>
                                <w:left w:val="none" w:sz="0" w:space="0" w:color="auto"/>
                                <w:bottom w:val="none" w:sz="0" w:space="0" w:color="auto"/>
                                <w:right w:val="none" w:sz="0" w:space="0" w:color="auto"/>
                              </w:divBdr>
                              <w:divsChild>
                                <w:div w:id="1698655114">
                                  <w:marLeft w:val="0"/>
                                  <w:marRight w:val="0"/>
                                  <w:marTop w:val="0"/>
                                  <w:marBottom w:val="0"/>
                                  <w:divBdr>
                                    <w:top w:val="none" w:sz="0" w:space="0" w:color="auto"/>
                                    <w:left w:val="none" w:sz="0" w:space="0" w:color="auto"/>
                                    <w:bottom w:val="none" w:sz="0" w:space="0" w:color="auto"/>
                                    <w:right w:val="none" w:sz="0" w:space="0" w:color="auto"/>
                                  </w:divBdr>
                                  <w:divsChild>
                                    <w:div w:id="636687250">
                                      <w:marLeft w:val="60"/>
                                      <w:marRight w:val="0"/>
                                      <w:marTop w:val="0"/>
                                      <w:marBottom w:val="0"/>
                                      <w:divBdr>
                                        <w:top w:val="none" w:sz="0" w:space="0" w:color="auto"/>
                                        <w:left w:val="none" w:sz="0" w:space="0" w:color="auto"/>
                                        <w:bottom w:val="none" w:sz="0" w:space="0" w:color="auto"/>
                                        <w:right w:val="none" w:sz="0" w:space="0" w:color="auto"/>
                                      </w:divBdr>
                                      <w:divsChild>
                                        <w:div w:id="28334911">
                                          <w:marLeft w:val="0"/>
                                          <w:marRight w:val="0"/>
                                          <w:marTop w:val="0"/>
                                          <w:marBottom w:val="0"/>
                                          <w:divBdr>
                                            <w:top w:val="none" w:sz="0" w:space="0" w:color="auto"/>
                                            <w:left w:val="none" w:sz="0" w:space="0" w:color="auto"/>
                                            <w:bottom w:val="none" w:sz="0" w:space="0" w:color="auto"/>
                                            <w:right w:val="none" w:sz="0" w:space="0" w:color="auto"/>
                                          </w:divBdr>
                                          <w:divsChild>
                                            <w:div w:id="1044326676">
                                              <w:marLeft w:val="0"/>
                                              <w:marRight w:val="0"/>
                                              <w:marTop w:val="0"/>
                                              <w:marBottom w:val="120"/>
                                              <w:divBdr>
                                                <w:top w:val="single" w:sz="6" w:space="0" w:color="F5F5F5"/>
                                                <w:left w:val="single" w:sz="6" w:space="0" w:color="F5F5F5"/>
                                                <w:bottom w:val="single" w:sz="6" w:space="0" w:color="F5F5F5"/>
                                                <w:right w:val="single" w:sz="6" w:space="0" w:color="F5F5F5"/>
                                              </w:divBdr>
                                              <w:divsChild>
                                                <w:div w:id="1733039878">
                                                  <w:marLeft w:val="0"/>
                                                  <w:marRight w:val="0"/>
                                                  <w:marTop w:val="0"/>
                                                  <w:marBottom w:val="0"/>
                                                  <w:divBdr>
                                                    <w:top w:val="none" w:sz="0" w:space="0" w:color="auto"/>
                                                    <w:left w:val="none" w:sz="0" w:space="0" w:color="auto"/>
                                                    <w:bottom w:val="none" w:sz="0" w:space="0" w:color="auto"/>
                                                    <w:right w:val="none" w:sz="0" w:space="0" w:color="auto"/>
                                                  </w:divBdr>
                                                  <w:divsChild>
                                                    <w:div w:id="19782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93759">
      <w:bodyDiv w:val="1"/>
      <w:marLeft w:val="0"/>
      <w:marRight w:val="0"/>
      <w:marTop w:val="0"/>
      <w:marBottom w:val="0"/>
      <w:divBdr>
        <w:top w:val="none" w:sz="0" w:space="0" w:color="auto"/>
        <w:left w:val="none" w:sz="0" w:space="0" w:color="auto"/>
        <w:bottom w:val="none" w:sz="0" w:space="0" w:color="auto"/>
        <w:right w:val="none" w:sz="0" w:space="0" w:color="auto"/>
      </w:divBdr>
      <w:divsChild>
        <w:div w:id="31852165">
          <w:marLeft w:val="0"/>
          <w:marRight w:val="0"/>
          <w:marTop w:val="0"/>
          <w:marBottom w:val="0"/>
          <w:divBdr>
            <w:top w:val="none" w:sz="0" w:space="0" w:color="auto"/>
            <w:left w:val="none" w:sz="0" w:space="0" w:color="auto"/>
            <w:bottom w:val="none" w:sz="0" w:space="0" w:color="auto"/>
            <w:right w:val="none" w:sz="0" w:space="0" w:color="auto"/>
          </w:divBdr>
        </w:div>
        <w:div w:id="81147487">
          <w:marLeft w:val="0"/>
          <w:marRight w:val="0"/>
          <w:marTop w:val="0"/>
          <w:marBottom w:val="0"/>
          <w:divBdr>
            <w:top w:val="none" w:sz="0" w:space="0" w:color="auto"/>
            <w:left w:val="none" w:sz="0" w:space="0" w:color="auto"/>
            <w:bottom w:val="none" w:sz="0" w:space="0" w:color="auto"/>
            <w:right w:val="none" w:sz="0" w:space="0" w:color="auto"/>
          </w:divBdr>
        </w:div>
        <w:div w:id="132404788">
          <w:marLeft w:val="0"/>
          <w:marRight w:val="0"/>
          <w:marTop w:val="0"/>
          <w:marBottom w:val="0"/>
          <w:divBdr>
            <w:top w:val="none" w:sz="0" w:space="0" w:color="auto"/>
            <w:left w:val="none" w:sz="0" w:space="0" w:color="auto"/>
            <w:bottom w:val="none" w:sz="0" w:space="0" w:color="auto"/>
            <w:right w:val="none" w:sz="0" w:space="0" w:color="auto"/>
          </w:divBdr>
        </w:div>
        <w:div w:id="166294242">
          <w:marLeft w:val="0"/>
          <w:marRight w:val="0"/>
          <w:marTop w:val="0"/>
          <w:marBottom w:val="0"/>
          <w:divBdr>
            <w:top w:val="none" w:sz="0" w:space="0" w:color="auto"/>
            <w:left w:val="none" w:sz="0" w:space="0" w:color="auto"/>
            <w:bottom w:val="none" w:sz="0" w:space="0" w:color="auto"/>
            <w:right w:val="none" w:sz="0" w:space="0" w:color="auto"/>
          </w:divBdr>
        </w:div>
        <w:div w:id="211815658">
          <w:marLeft w:val="0"/>
          <w:marRight w:val="0"/>
          <w:marTop w:val="0"/>
          <w:marBottom w:val="0"/>
          <w:divBdr>
            <w:top w:val="none" w:sz="0" w:space="0" w:color="auto"/>
            <w:left w:val="none" w:sz="0" w:space="0" w:color="auto"/>
            <w:bottom w:val="none" w:sz="0" w:space="0" w:color="auto"/>
            <w:right w:val="none" w:sz="0" w:space="0" w:color="auto"/>
          </w:divBdr>
        </w:div>
        <w:div w:id="216741351">
          <w:marLeft w:val="0"/>
          <w:marRight w:val="0"/>
          <w:marTop w:val="0"/>
          <w:marBottom w:val="0"/>
          <w:divBdr>
            <w:top w:val="none" w:sz="0" w:space="0" w:color="auto"/>
            <w:left w:val="none" w:sz="0" w:space="0" w:color="auto"/>
            <w:bottom w:val="none" w:sz="0" w:space="0" w:color="auto"/>
            <w:right w:val="none" w:sz="0" w:space="0" w:color="auto"/>
          </w:divBdr>
        </w:div>
        <w:div w:id="331571967">
          <w:marLeft w:val="0"/>
          <w:marRight w:val="0"/>
          <w:marTop w:val="0"/>
          <w:marBottom w:val="0"/>
          <w:divBdr>
            <w:top w:val="none" w:sz="0" w:space="0" w:color="auto"/>
            <w:left w:val="none" w:sz="0" w:space="0" w:color="auto"/>
            <w:bottom w:val="none" w:sz="0" w:space="0" w:color="auto"/>
            <w:right w:val="none" w:sz="0" w:space="0" w:color="auto"/>
          </w:divBdr>
        </w:div>
        <w:div w:id="350759925">
          <w:marLeft w:val="0"/>
          <w:marRight w:val="0"/>
          <w:marTop w:val="0"/>
          <w:marBottom w:val="0"/>
          <w:divBdr>
            <w:top w:val="none" w:sz="0" w:space="0" w:color="auto"/>
            <w:left w:val="none" w:sz="0" w:space="0" w:color="auto"/>
            <w:bottom w:val="none" w:sz="0" w:space="0" w:color="auto"/>
            <w:right w:val="none" w:sz="0" w:space="0" w:color="auto"/>
          </w:divBdr>
        </w:div>
        <w:div w:id="361133033">
          <w:marLeft w:val="0"/>
          <w:marRight w:val="0"/>
          <w:marTop w:val="0"/>
          <w:marBottom w:val="0"/>
          <w:divBdr>
            <w:top w:val="none" w:sz="0" w:space="0" w:color="auto"/>
            <w:left w:val="none" w:sz="0" w:space="0" w:color="auto"/>
            <w:bottom w:val="none" w:sz="0" w:space="0" w:color="auto"/>
            <w:right w:val="none" w:sz="0" w:space="0" w:color="auto"/>
          </w:divBdr>
        </w:div>
        <w:div w:id="463425348">
          <w:marLeft w:val="0"/>
          <w:marRight w:val="0"/>
          <w:marTop w:val="0"/>
          <w:marBottom w:val="0"/>
          <w:divBdr>
            <w:top w:val="none" w:sz="0" w:space="0" w:color="auto"/>
            <w:left w:val="none" w:sz="0" w:space="0" w:color="auto"/>
            <w:bottom w:val="none" w:sz="0" w:space="0" w:color="auto"/>
            <w:right w:val="none" w:sz="0" w:space="0" w:color="auto"/>
          </w:divBdr>
        </w:div>
        <w:div w:id="480728783">
          <w:marLeft w:val="0"/>
          <w:marRight w:val="0"/>
          <w:marTop w:val="0"/>
          <w:marBottom w:val="0"/>
          <w:divBdr>
            <w:top w:val="none" w:sz="0" w:space="0" w:color="auto"/>
            <w:left w:val="none" w:sz="0" w:space="0" w:color="auto"/>
            <w:bottom w:val="none" w:sz="0" w:space="0" w:color="auto"/>
            <w:right w:val="none" w:sz="0" w:space="0" w:color="auto"/>
          </w:divBdr>
        </w:div>
        <w:div w:id="520121799">
          <w:marLeft w:val="0"/>
          <w:marRight w:val="0"/>
          <w:marTop w:val="0"/>
          <w:marBottom w:val="0"/>
          <w:divBdr>
            <w:top w:val="none" w:sz="0" w:space="0" w:color="auto"/>
            <w:left w:val="none" w:sz="0" w:space="0" w:color="auto"/>
            <w:bottom w:val="none" w:sz="0" w:space="0" w:color="auto"/>
            <w:right w:val="none" w:sz="0" w:space="0" w:color="auto"/>
          </w:divBdr>
        </w:div>
        <w:div w:id="585578950">
          <w:marLeft w:val="0"/>
          <w:marRight w:val="0"/>
          <w:marTop w:val="0"/>
          <w:marBottom w:val="0"/>
          <w:divBdr>
            <w:top w:val="none" w:sz="0" w:space="0" w:color="auto"/>
            <w:left w:val="none" w:sz="0" w:space="0" w:color="auto"/>
            <w:bottom w:val="none" w:sz="0" w:space="0" w:color="auto"/>
            <w:right w:val="none" w:sz="0" w:space="0" w:color="auto"/>
          </w:divBdr>
        </w:div>
        <w:div w:id="587663260">
          <w:marLeft w:val="0"/>
          <w:marRight w:val="0"/>
          <w:marTop w:val="0"/>
          <w:marBottom w:val="0"/>
          <w:divBdr>
            <w:top w:val="none" w:sz="0" w:space="0" w:color="auto"/>
            <w:left w:val="none" w:sz="0" w:space="0" w:color="auto"/>
            <w:bottom w:val="none" w:sz="0" w:space="0" w:color="auto"/>
            <w:right w:val="none" w:sz="0" w:space="0" w:color="auto"/>
          </w:divBdr>
        </w:div>
        <w:div w:id="634719812">
          <w:marLeft w:val="0"/>
          <w:marRight w:val="0"/>
          <w:marTop w:val="0"/>
          <w:marBottom w:val="0"/>
          <w:divBdr>
            <w:top w:val="none" w:sz="0" w:space="0" w:color="auto"/>
            <w:left w:val="none" w:sz="0" w:space="0" w:color="auto"/>
            <w:bottom w:val="none" w:sz="0" w:space="0" w:color="auto"/>
            <w:right w:val="none" w:sz="0" w:space="0" w:color="auto"/>
          </w:divBdr>
        </w:div>
        <w:div w:id="659163728">
          <w:marLeft w:val="0"/>
          <w:marRight w:val="0"/>
          <w:marTop w:val="0"/>
          <w:marBottom w:val="0"/>
          <w:divBdr>
            <w:top w:val="none" w:sz="0" w:space="0" w:color="auto"/>
            <w:left w:val="none" w:sz="0" w:space="0" w:color="auto"/>
            <w:bottom w:val="none" w:sz="0" w:space="0" w:color="auto"/>
            <w:right w:val="none" w:sz="0" w:space="0" w:color="auto"/>
          </w:divBdr>
        </w:div>
        <w:div w:id="661082655">
          <w:marLeft w:val="0"/>
          <w:marRight w:val="0"/>
          <w:marTop w:val="0"/>
          <w:marBottom w:val="0"/>
          <w:divBdr>
            <w:top w:val="none" w:sz="0" w:space="0" w:color="auto"/>
            <w:left w:val="none" w:sz="0" w:space="0" w:color="auto"/>
            <w:bottom w:val="none" w:sz="0" w:space="0" w:color="auto"/>
            <w:right w:val="none" w:sz="0" w:space="0" w:color="auto"/>
          </w:divBdr>
        </w:div>
        <w:div w:id="716128660">
          <w:marLeft w:val="0"/>
          <w:marRight w:val="0"/>
          <w:marTop w:val="0"/>
          <w:marBottom w:val="0"/>
          <w:divBdr>
            <w:top w:val="none" w:sz="0" w:space="0" w:color="auto"/>
            <w:left w:val="none" w:sz="0" w:space="0" w:color="auto"/>
            <w:bottom w:val="none" w:sz="0" w:space="0" w:color="auto"/>
            <w:right w:val="none" w:sz="0" w:space="0" w:color="auto"/>
          </w:divBdr>
        </w:div>
        <w:div w:id="744375827">
          <w:marLeft w:val="0"/>
          <w:marRight w:val="0"/>
          <w:marTop w:val="0"/>
          <w:marBottom w:val="0"/>
          <w:divBdr>
            <w:top w:val="none" w:sz="0" w:space="0" w:color="auto"/>
            <w:left w:val="none" w:sz="0" w:space="0" w:color="auto"/>
            <w:bottom w:val="none" w:sz="0" w:space="0" w:color="auto"/>
            <w:right w:val="none" w:sz="0" w:space="0" w:color="auto"/>
          </w:divBdr>
        </w:div>
        <w:div w:id="766583332">
          <w:marLeft w:val="0"/>
          <w:marRight w:val="0"/>
          <w:marTop w:val="0"/>
          <w:marBottom w:val="0"/>
          <w:divBdr>
            <w:top w:val="none" w:sz="0" w:space="0" w:color="auto"/>
            <w:left w:val="none" w:sz="0" w:space="0" w:color="auto"/>
            <w:bottom w:val="none" w:sz="0" w:space="0" w:color="auto"/>
            <w:right w:val="none" w:sz="0" w:space="0" w:color="auto"/>
          </w:divBdr>
        </w:div>
        <w:div w:id="853953509">
          <w:marLeft w:val="0"/>
          <w:marRight w:val="0"/>
          <w:marTop w:val="0"/>
          <w:marBottom w:val="0"/>
          <w:divBdr>
            <w:top w:val="none" w:sz="0" w:space="0" w:color="auto"/>
            <w:left w:val="none" w:sz="0" w:space="0" w:color="auto"/>
            <w:bottom w:val="none" w:sz="0" w:space="0" w:color="auto"/>
            <w:right w:val="none" w:sz="0" w:space="0" w:color="auto"/>
          </w:divBdr>
        </w:div>
        <w:div w:id="893658212">
          <w:marLeft w:val="0"/>
          <w:marRight w:val="0"/>
          <w:marTop w:val="0"/>
          <w:marBottom w:val="0"/>
          <w:divBdr>
            <w:top w:val="none" w:sz="0" w:space="0" w:color="auto"/>
            <w:left w:val="none" w:sz="0" w:space="0" w:color="auto"/>
            <w:bottom w:val="none" w:sz="0" w:space="0" w:color="auto"/>
            <w:right w:val="none" w:sz="0" w:space="0" w:color="auto"/>
          </w:divBdr>
        </w:div>
        <w:div w:id="901792837">
          <w:marLeft w:val="0"/>
          <w:marRight w:val="0"/>
          <w:marTop w:val="0"/>
          <w:marBottom w:val="0"/>
          <w:divBdr>
            <w:top w:val="none" w:sz="0" w:space="0" w:color="auto"/>
            <w:left w:val="none" w:sz="0" w:space="0" w:color="auto"/>
            <w:bottom w:val="none" w:sz="0" w:space="0" w:color="auto"/>
            <w:right w:val="none" w:sz="0" w:space="0" w:color="auto"/>
          </w:divBdr>
        </w:div>
        <w:div w:id="938490298">
          <w:marLeft w:val="0"/>
          <w:marRight w:val="0"/>
          <w:marTop w:val="0"/>
          <w:marBottom w:val="0"/>
          <w:divBdr>
            <w:top w:val="none" w:sz="0" w:space="0" w:color="auto"/>
            <w:left w:val="none" w:sz="0" w:space="0" w:color="auto"/>
            <w:bottom w:val="none" w:sz="0" w:space="0" w:color="auto"/>
            <w:right w:val="none" w:sz="0" w:space="0" w:color="auto"/>
          </w:divBdr>
        </w:div>
        <w:div w:id="975178562">
          <w:marLeft w:val="0"/>
          <w:marRight w:val="0"/>
          <w:marTop w:val="0"/>
          <w:marBottom w:val="0"/>
          <w:divBdr>
            <w:top w:val="none" w:sz="0" w:space="0" w:color="auto"/>
            <w:left w:val="none" w:sz="0" w:space="0" w:color="auto"/>
            <w:bottom w:val="none" w:sz="0" w:space="0" w:color="auto"/>
            <w:right w:val="none" w:sz="0" w:space="0" w:color="auto"/>
          </w:divBdr>
        </w:div>
        <w:div w:id="985819132">
          <w:marLeft w:val="0"/>
          <w:marRight w:val="0"/>
          <w:marTop w:val="0"/>
          <w:marBottom w:val="0"/>
          <w:divBdr>
            <w:top w:val="none" w:sz="0" w:space="0" w:color="auto"/>
            <w:left w:val="none" w:sz="0" w:space="0" w:color="auto"/>
            <w:bottom w:val="none" w:sz="0" w:space="0" w:color="auto"/>
            <w:right w:val="none" w:sz="0" w:space="0" w:color="auto"/>
          </w:divBdr>
        </w:div>
        <w:div w:id="1080903287">
          <w:marLeft w:val="0"/>
          <w:marRight w:val="0"/>
          <w:marTop w:val="0"/>
          <w:marBottom w:val="0"/>
          <w:divBdr>
            <w:top w:val="none" w:sz="0" w:space="0" w:color="auto"/>
            <w:left w:val="none" w:sz="0" w:space="0" w:color="auto"/>
            <w:bottom w:val="none" w:sz="0" w:space="0" w:color="auto"/>
            <w:right w:val="none" w:sz="0" w:space="0" w:color="auto"/>
          </w:divBdr>
        </w:div>
        <w:div w:id="1113402099">
          <w:marLeft w:val="0"/>
          <w:marRight w:val="0"/>
          <w:marTop w:val="0"/>
          <w:marBottom w:val="0"/>
          <w:divBdr>
            <w:top w:val="none" w:sz="0" w:space="0" w:color="auto"/>
            <w:left w:val="none" w:sz="0" w:space="0" w:color="auto"/>
            <w:bottom w:val="none" w:sz="0" w:space="0" w:color="auto"/>
            <w:right w:val="none" w:sz="0" w:space="0" w:color="auto"/>
          </w:divBdr>
        </w:div>
        <w:div w:id="1139221869">
          <w:marLeft w:val="0"/>
          <w:marRight w:val="0"/>
          <w:marTop w:val="0"/>
          <w:marBottom w:val="0"/>
          <w:divBdr>
            <w:top w:val="none" w:sz="0" w:space="0" w:color="auto"/>
            <w:left w:val="none" w:sz="0" w:space="0" w:color="auto"/>
            <w:bottom w:val="none" w:sz="0" w:space="0" w:color="auto"/>
            <w:right w:val="none" w:sz="0" w:space="0" w:color="auto"/>
          </w:divBdr>
        </w:div>
        <w:div w:id="1156847325">
          <w:marLeft w:val="0"/>
          <w:marRight w:val="0"/>
          <w:marTop w:val="0"/>
          <w:marBottom w:val="0"/>
          <w:divBdr>
            <w:top w:val="none" w:sz="0" w:space="0" w:color="auto"/>
            <w:left w:val="none" w:sz="0" w:space="0" w:color="auto"/>
            <w:bottom w:val="none" w:sz="0" w:space="0" w:color="auto"/>
            <w:right w:val="none" w:sz="0" w:space="0" w:color="auto"/>
          </w:divBdr>
        </w:div>
        <w:div w:id="1235047589">
          <w:marLeft w:val="0"/>
          <w:marRight w:val="0"/>
          <w:marTop w:val="0"/>
          <w:marBottom w:val="0"/>
          <w:divBdr>
            <w:top w:val="none" w:sz="0" w:space="0" w:color="auto"/>
            <w:left w:val="none" w:sz="0" w:space="0" w:color="auto"/>
            <w:bottom w:val="none" w:sz="0" w:space="0" w:color="auto"/>
            <w:right w:val="none" w:sz="0" w:space="0" w:color="auto"/>
          </w:divBdr>
        </w:div>
        <w:div w:id="1291015194">
          <w:marLeft w:val="0"/>
          <w:marRight w:val="0"/>
          <w:marTop w:val="0"/>
          <w:marBottom w:val="0"/>
          <w:divBdr>
            <w:top w:val="none" w:sz="0" w:space="0" w:color="auto"/>
            <w:left w:val="none" w:sz="0" w:space="0" w:color="auto"/>
            <w:bottom w:val="none" w:sz="0" w:space="0" w:color="auto"/>
            <w:right w:val="none" w:sz="0" w:space="0" w:color="auto"/>
          </w:divBdr>
        </w:div>
        <w:div w:id="1296326119">
          <w:marLeft w:val="0"/>
          <w:marRight w:val="0"/>
          <w:marTop w:val="0"/>
          <w:marBottom w:val="0"/>
          <w:divBdr>
            <w:top w:val="none" w:sz="0" w:space="0" w:color="auto"/>
            <w:left w:val="none" w:sz="0" w:space="0" w:color="auto"/>
            <w:bottom w:val="none" w:sz="0" w:space="0" w:color="auto"/>
            <w:right w:val="none" w:sz="0" w:space="0" w:color="auto"/>
          </w:divBdr>
        </w:div>
        <w:div w:id="1307200759">
          <w:marLeft w:val="0"/>
          <w:marRight w:val="0"/>
          <w:marTop w:val="0"/>
          <w:marBottom w:val="0"/>
          <w:divBdr>
            <w:top w:val="none" w:sz="0" w:space="0" w:color="auto"/>
            <w:left w:val="none" w:sz="0" w:space="0" w:color="auto"/>
            <w:bottom w:val="none" w:sz="0" w:space="0" w:color="auto"/>
            <w:right w:val="none" w:sz="0" w:space="0" w:color="auto"/>
          </w:divBdr>
        </w:div>
        <w:div w:id="1331103778">
          <w:marLeft w:val="0"/>
          <w:marRight w:val="0"/>
          <w:marTop w:val="0"/>
          <w:marBottom w:val="0"/>
          <w:divBdr>
            <w:top w:val="none" w:sz="0" w:space="0" w:color="auto"/>
            <w:left w:val="none" w:sz="0" w:space="0" w:color="auto"/>
            <w:bottom w:val="none" w:sz="0" w:space="0" w:color="auto"/>
            <w:right w:val="none" w:sz="0" w:space="0" w:color="auto"/>
          </w:divBdr>
        </w:div>
        <w:div w:id="1404065949">
          <w:marLeft w:val="0"/>
          <w:marRight w:val="0"/>
          <w:marTop w:val="0"/>
          <w:marBottom w:val="0"/>
          <w:divBdr>
            <w:top w:val="none" w:sz="0" w:space="0" w:color="auto"/>
            <w:left w:val="none" w:sz="0" w:space="0" w:color="auto"/>
            <w:bottom w:val="none" w:sz="0" w:space="0" w:color="auto"/>
            <w:right w:val="none" w:sz="0" w:space="0" w:color="auto"/>
          </w:divBdr>
        </w:div>
        <w:div w:id="1435130425">
          <w:marLeft w:val="0"/>
          <w:marRight w:val="0"/>
          <w:marTop w:val="0"/>
          <w:marBottom w:val="0"/>
          <w:divBdr>
            <w:top w:val="none" w:sz="0" w:space="0" w:color="auto"/>
            <w:left w:val="none" w:sz="0" w:space="0" w:color="auto"/>
            <w:bottom w:val="none" w:sz="0" w:space="0" w:color="auto"/>
            <w:right w:val="none" w:sz="0" w:space="0" w:color="auto"/>
          </w:divBdr>
        </w:div>
        <w:div w:id="1444152098">
          <w:marLeft w:val="0"/>
          <w:marRight w:val="0"/>
          <w:marTop w:val="0"/>
          <w:marBottom w:val="0"/>
          <w:divBdr>
            <w:top w:val="none" w:sz="0" w:space="0" w:color="auto"/>
            <w:left w:val="none" w:sz="0" w:space="0" w:color="auto"/>
            <w:bottom w:val="none" w:sz="0" w:space="0" w:color="auto"/>
            <w:right w:val="none" w:sz="0" w:space="0" w:color="auto"/>
          </w:divBdr>
        </w:div>
        <w:div w:id="1447919472">
          <w:marLeft w:val="0"/>
          <w:marRight w:val="0"/>
          <w:marTop w:val="0"/>
          <w:marBottom w:val="0"/>
          <w:divBdr>
            <w:top w:val="none" w:sz="0" w:space="0" w:color="auto"/>
            <w:left w:val="none" w:sz="0" w:space="0" w:color="auto"/>
            <w:bottom w:val="none" w:sz="0" w:space="0" w:color="auto"/>
            <w:right w:val="none" w:sz="0" w:space="0" w:color="auto"/>
          </w:divBdr>
        </w:div>
        <w:div w:id="1523667958">
          <w:marLeft w:val="0"/>
          <w:marRight w:val="0"/>
          <w:marTop w:val="0"/>
          <w:marBottom w:val="0"/>
          <w:divBdr>
            <w:top w:val="none" w:sz="0" w:space="0" w:color="auto"/>
            <w:left w:val="none" w:sz="0" w:space="0" w:color="auto"/>
            <w:bottom w:val="none" w:sz="0" w:space="0" w:color="auto"/>
            <w:right w:val="none" w:sz="0" w:space="0" w:color="auto"/>
          </w:divBdr>
        </w:div>
        <w:div w:id="1611428000">
          <w:marLeft w:val="0"/>
          <w:marRight w:val="0"/>
          <w:marTop w:val="0"/>
          <w:marBottom w:val="0"/>
          <w:divBdr>
            <w:top w:val="none" w:sz="0" w:space="0" w:color="auto"/>
            <w:left w:val="none" w:sz="0" w:space="0" w:color="auto"/>
            <w:bottom w:val="none" w:sz="0" w:space="0" w:color="auto"/>
            <w:right w:val="none" w:sz="0" w:space="0" w:color="auto"/>
          </w:divBdr>
        </w:div>
        <w:div w:id="1649557768">
          <w:marLeft w:val="0"/>
          <w:marRight w:val="0"/>
          <w:marTop w:val="0"/>
          <w:marBottom w:val="0"/>
          <w:divBdr>
            <w:top w:val="none" w:sz="0" w:space="0" w:color="auto"/>
            <w:left w:val="none" w:sz="0" w:space="0" w:color="auto"/>
            <w:bottom w:val="none" w:sz="0" w:space="0" w:color="auto"/>
            <w:right w:val="none" w:sz="0" w:space="0" w:color="auto"/>
          </w:divBdr>
        </w:div>
        <w:div w:id="1701082302">
          <w:marLeft w:val="0"/>
          <w:marRight w:val="0"/>
          <w:marTop w:val="0"/>
          <w:marBottom w:val="0"/>
          <w:divBdr>
            <w:top w:val="none" w:sz="0" w:space="0" w:color="auto"/>
            <w:left w:val="none" w:sz="0" w:space="0" w:color="auto"/>
            <w:bottom w:val="none" w:sz="0" w:space="0" w:color="auto"/>
            <w:right w:val="none" w:sz="0" w:space="0" w:color="auto"/>
          </w:divBdr>
        </w:div>
        <w:div w:id="1709405952">
          <w:marLeft w:val="0"/>
          <w:marRight w:val="0"/>
          <w:marTop w:val="0"/>
          <w:marBottom w:val="0"/>
          <w:divBdr>
            <w:top w:val="none" w:sz="0" w:space="0" w:color="auto"/>
            <w:left w:val="none" w:sz="0" w:space="0" w:color="auto"/>
            <w:bottom w:val="none" w:sz="0" w:space="0" w:color="auto"/>
            <w:right w:val="none" w:sz="0" w:space="0" w:color="auto"/>
          </w:divBdr>
        </w:div>
        <w:div w:id="1716348826">
          <w:marLeft w:val="0"/>
          <w:marRight w:val="0"/>
          <w:marTop w:val="0"/>
          <w:marBottom w:val="0"/>
          <w:divBdr>
            <w:top w:val="none" w:sz="0" w:space="0" w:color="auto"/>
            <w:left w:val="none" w:sz="0" w:space="0" w:color="auto"/>
            <w:bottom w:val="none" w:sz="0" w:space="0" w:color="auto"/>
            <w:right w:val="none" w:sz="0" w:space="0" w:color="auto"/>
          </w:divBdr>
        </w:div>
        <w:div w:id="1769081494">
          <w:marLeft w:val="0"/>
          <w:marRight w:val="0"/>
          <w:marTop w:val="0"/>
          <w:marBottom w:val="0"/>
          <w:divBdr>
            <w:top w:val="none" w:sz="0" w:space="0" w:color="auto"/>
            <w:left w:val="none" w:sz="0" w:space="0" w:color="auto"/>
            <w:bottom w:val="none" w:sz="0" w:space="0" w:color="auto"/>
            <w:right w:val="none" w:sz="0" w:space="0" w:color="auto"/>
          </w:divBdr>
        </w:div>
        <w:div w:id="1780758056">
          <w:marLeft w:val="0"/>
          <w:marRight w:val="0"/>
          <w:marTop w:val="0"/>
          <w:marBottom w:val="0"/>
          <w:divBdr>
            <w:top w:val="none" w:sz="0" w:space="0" w:color="auto"/>
            <w:left w:val="none" w:sz="0" w:space="0" w:color="auto"/>
            <w:bottom w:val="none" w:sz="0" w:space="0" w:color="auto"/>
            <w:right w:val="none" w:sz="0" w:space="0" w:color="auto"/>
          </w:divBdr>
        </w:div>
        <w:div w:id="1802265680">
          <w:marLeft w:val="0"/>
          <w:marRight w:val="0"/>
          <w:marTop w:val="0"/>
          <w:marBottom w:val="0"/>
          <w:divBdr>
            <w:top w:val="none" w:sz="0" w:space="0" w:color="auto"/>
            <w:left w:val="none" w:sz="0" w:space="0" w:color="auto"/>
            <w:bottom w:val="none" w:sz="0" w:space="0" w:color="auto"/>
            <w:right w:val="none" w:sz="0" w:space="0" w:color="auto"/>
          </w:divBdr>
        </w:div>
        <w:div w:id="1810900015">
          <w:marLeft w:val="0"/>
          <w:marRight w:val="0"/>
          <w:marTop w:val="0"/>
          <w:marBottom w:val="0"/>
          <w:divBdr>
            <w:top w:val="none" w:sz="0" w:space="0" w:color="auto"/>
            <w:left w:val="none" w:sz="0" w:space="0" w:color="auto"/>
            <w:bottom w:val="none" w:sz="0" w:space="0" w:color="auto"/>
            <w:right w:val="none" w:sz="0" w:space="0" w:color="auto"/>
          </w:divBdr>
        </w:div>
        <w:div w:id="1812289301">
          <w:marLeft w:val="0"/>
          <w:marRight w:val="0"/>
          <w:marTop w:val="0"/>
          <w:marBottom w:val="0"/>
          <w:divBdr>
            <w:top w:val="none" w:sz="0" w:space="0" w:color="auto"/>
            <w:left w:val="none" w:sz="0" w:space="0" w:color="auto"/>
            <w:bottom w:val="none" w:sz="0" w:space="0" w:color="auto"/>
            <w:right w:val="none" w:sz="0" w:space="0" w:color="auto"/>
          </w:divBdr>
        </w:div>
        <w:div w:id="1841309316">
          <w:marLeft w:val="0"/>
          <w:marRight w:val="0"/>
          <w:marTop w:val="0"/>
          <w:marBottom w:val="0"/>
          <w:divBdr>
            <w:top w:val="none" w:sz="0" w:space="0" w:color="auto"/>
            <w:left w:val="none" w:sz="0" w:space="0" w:color="auto"/>
            <w:bottom w:val="none" w:sz="0" w:space="0" w:color="auto"/>
            <w:right w:val="none" w:sz="0" w:space="0" w:color="auto"/>
          </w:divBdr>
        </w:div>
        <w:div w:id="1900242637">
          <w:marLeft w:val="0"/>
          <w:marRight w:val="0"/>
          <w:marTop w:val="0"/>
          <w:marBottom w:val="0"/>
          <w:divBdr>
            <w:top w:val="none" w:sz="0" w:space="0" w:color="auto"/>
            <w:left w:val="none" w:sz="0" w:space="0" w:color="auto"/>
            <w:bottom w:val="none" w:sz="0" w:space="0" w:color="auto"/>
            <w:right w:val="none" w:sz="0" w:space="0" w:color="auto"/>
          </w:divBdr>
        </w:div>
        <w:div w:id="1932549108">
          <w:marLeft w:val="0"/>
          <w:marRight w:val="0"/>
          <w:marTop w:val="0"/>
          <w:marBottom w:val="0"/>
          <w:divBdr>
            <w:top w:val="none" w:sz="0" w:space="0" w:color="auto"/>
            <w:left w:val="none" w:sz="0" w:space="0" w:color="auto"/>
            <w:bottom w:val="none" w:sz="0" w:space="0" w:color="auto"/>
            <w:right w:val="none" w:sz="0" w:space="0" w:color="auto"/>
          </w:divBdr>
        </w:div>
        <w:div w:id="2003504622">
          <w:marLeft w:val="0"/>
          <w:marRight w:val="0"/>
          <w:marTop w:val="0"/>
          <w:marBottom w:val="0"/>
          <w:divBdr>
            <w:top w:val="none" w:sz="0" w:space="0" w:color="auto"/>
            <w:left w:val="none" w:sz="0" w:space="0" w:color="auto"/>
            <w:bottom w:val="none" w:sz="0" w:space="0" w:color="auto"/>
            <w:right w:val="none" w:sz="0" w:space="0" w:color="auto"/>
          </w:divBdr>
        </w:div>
        <w:div w:id="2022853840">
          <w:marLeft w:val="0"/>
          <w:marRight w:val="0"/>
          <w:marTop w:val="0"/>
          <w:marBottom w:val="0"/>
          <w:divBdr>
            <w:top w:val="none" w:sz="0" w:space="0" w:color="auto"/>
            <w:left w:val="none" w:sz="0" w:space="0" w:color="auto"/>
            <w:bottom w:val="none" w:sz="0" w:space="0" w:color="auto"/>
            <w:right w:val="none" w:sz="0" w:space="0" w:color="auto"/>
          </w:divBdr>
        </w:div>
        <w:div w:id="2046522071">
          <w:marLeft w:val="0"/>
          <w:marRight w:val="0"/>
          <w:marTop w:val="0"/>
          <w:marBottom w:val="0"/>
          <w:divBdr>
            <w:top w:val="none" w:sz="0" w:space="0" w:color="auto"/>
            <w:left w:val="none" w:sz="0" w:space="0" w:color="auto"/>
            <w:bottom w:val="none" w:sz="0" w:space="0" w:color="auto"/>
            <w:right w:val="none" w:sz="0" w:space="0" w:color="auto"/>
          </w:divBdr>
        </w:div>
        <w:div w:id="2059552026">
          <w:marLeft w:val="0"/>
          <w:marRight w:val="0"/>
          <w:marTop w:val="0"/>
          <w:marBottom w:val="0"/>
          <w:divBdr>
            <w:top w:val="none" w:sz="0" w:space="0" w:color="auto"/>
            <w:left w:val="none" w:sz="0" w:space="0" w:color="auto"/>
            <w:bottom w:val="none" w:sz="0" w:space="0" w:color="auto"/>
            <w:right w:val="none" w:sz="0" w:space="0" w:color="auto"/>
          </w:divBdr>
        </w:div>
        <w:div w:id="2070305714">
          <w:marLeft w:val="0"/>
          <w:marRight w:val="0"/>
          <w:marTop w:val="0"/>
          <w:marBottom w:val="0"/>
          <w:divBdr>
            <w:top w:val="none" w:sz="0" w:space="0" w:color="auto"/>
            <w:left w:val="none" w:sz="0" w:space="0" w:color="auto"/>
            <w:bottom w:val="none" w:sz="0" w:space="0" w:color="auto"/>
            <w:right w:val="none" w:sz="0" w:space="0" w:color="auto"/>
          </w:divBdr>
        </w:div>
      </w:divsChild>
    </w:div>
    <w:div w:id="1426876289">
      <w:bodyDiv w:val="1"/>
      <w:marLeft w:val="0"/>
      <w:marRight w:val="0"/>
      <w:marTop w:val="0"/>
      <w:marBottom w:val="0"/>
      <w:divBdr>
        <w:top w:val="none" w:sz="0" w:space="0" w:color="auto"/>
        <w:left w:val="none" w:sz="0" w:space="0" w:color="auto"/>
        <w:bottom w:val="none" w:sz="0" w:space="0" w:color="auto"/>
        <w:right w:val="none" w:sz="0" w:space="0" w:color="auto"/>
      </w:divBdr>
    </w:div>
    <w:div w:id="1478573031">
      <w:bodyDiv w:val="1"/>
      <w:marLeft w:val="0"/>
      <w:marRight w:val="0"/>
      <w:marTop w:val="0"/>
      <w:marBottom w:val="0"/>
      <w:divBdr>
        <w:top w:val="none" w:sz="0" w:space="0" w:color="auto"/>
        <w:left w:val="none" w:sz="0" w:space="0" w:color="auto"/>
        <w:bottom w:val="none" w:sz="0" w:space="0" w:color="auto"/>
        <w:right w:val="none" w:sz="0" w:space="0" w:color="auto"/>
      </w:divBdr>
    </w:div>
    <w:div w:id="1511287215">
      <w:bodyDiv w:val="1"/>
      <w:marLeft w:val="0"/>
      <w:marRight w:val="0"/>
      <w:marTop w:val="0"/>
      <w:marBottom w:val="0"/>
      <w:divBdr>
        <w:top w:val="none" w:sz="0" w:space="0" w:color="auto"/>
        <w:left w:val="none" w:sz="0" w:space="0" w:color="auto"/>
        <w:bottom w:val="none" w:sz="0" w:space="0" w:color="auto"/>
        <w:right w:val="none" w:sz="0" w:space="0" w:color="auto"/>
      </w:divBdr>
    </w:div>
    <w:div w:id="1515076920">
      <w:bodyDiv w:val="1"/>
      <w:marLeft w:val="0"/>
      <w:marRight w:val="0"/>
      <w:marTop w:val="0"/>
      <w:marBottom w:val="0"/>
      <w:divBdr>
        <w:top w:val="none" w:sz="0" w:space="0" w:color="auto"/>
        <w:left w:val="none" w:sz="0" w:space="0" w:color="auto"/>
        <w:bottom w:val="none" w:sz="0" w:space="0" w:color="auto"/>
        <w:right w:val="none" w:sz="0" w:space="0" w:color="auto"/>
      </w:divBdr>
    </w:div>
    <w:div w:id="1556970855">
      <w:bodyDiv w:val="1"/>
      <w:marLeft w:val="0"/>
      <w:marRight w:val="0"/>
      <w:marTop w:val="0"/>
      <w:marBottom w:val="0"/>
      <w:divBdr>
        <w:top w:val="none" w:sz="0" w:space="0" w:color="auto"/>
        <w:left w:val="none" w:sz="0" w:space="0" w:color="auto"/>
        <w:bottom w:val="none" w:sz="0" w:space="0" w:color="auto"/>
        <w:right w:val="none" w:sz="0" w:space="0" w:color="auto"/>
      </w:divBdr>
      <w:divsChild>
        <w:div w:id="1927029912">
          <w:marLeft w:val="0"/>
          <w:marRight w:val="0"/>
          <w:marTop w:val="0"/>
          <w:marBottom w:val="0"/>
          <w:divBdr>
            <w:top w:val="none" w:sz="0" w:space="0" w:color="auto"/>
            <w:left w:val="none" w:sz="0" w:space="0" w:color="auto"/>
            <w:bottom w:val="none" w:sz="0" w:space="0" w:color="auto"/>
            <w:right w:val="none" w:sz="0" w:space="0" w:color="auto"/>
          </w:divBdr>
          <w:divsChild>
            <w:div w:id="2134708645">
              <w:marLeft w:val="0"/>
              <w:marRight w:val="0"/>
              <w:marTop w:val="0"/>
              <w:marBottom w:val="0"/>
              <w:divBdr>
                <w:top w:val="none" w:sz="0" w:space="0" w:color="auto"/>
                <w:left w:val="none" w:sz="0" w:space="0" w:color="auto"/>
                <w:bottom w:val="none" w:sz="0" w:space="0" w:color="auto"/>
                <w:right w:val="none" w:sz="0" w:space="0" w:color="auto"/>
              </w:divBdr>
              <w:divsChild>
                <w:div w:id="581912144">
                  <w:marLeft w:val="0"/>
                  <w:marRight w:val="0"/>
                  <w:marTop w:val="0"/>
                  <w:marBottom w:val="0"/>
                  <w:divBdr>
                    <w:top w:val="none" w:sz="0" w:space="0" w:color="auto"/>
                    <w:left w:val="none" w:sz="0" w:space="0" w:color="auto"/>
                    <w:bottom w:val="none" w:sz="0" w:space="0" w:color="auto"/>
                    <w:right w:val="none" w:sz="0" w:space="0" w:color="auto"/>
                  </w:divBdr>
                  <w:divsChild>
                    <w:div w:id="830952304">
                      <w:marLeft w:val="0"/>
                      <w:marRight w:val="0"/>
                      <w:marTop w:val="0"/>
                      <w:marBottom w:val="0"/>
                      <w:divBdr>
                        <w:top w:val="none" w:sz="0" w:space="0" w:color="auto"/>
                        <w:left w:val="none" w:sz="0" w:space="0" w:color="auto"/>
                        <w:bottom w:val="none" w:sz="0" w:space="0" w:color="auto"/>
                        <w:right w:val="none" w:sz="0" w:space="0" w:color="auto"/>
                      </w:divBdr>
                      <w:divsChild>
                        <w:div w:id="1303850282">
                          <w:marLeft w:val="0"/>
                          <w:marRight w:val="0"/>
                          <w:marTop w:val="0"/>
                          <w:marBottom w:val="0"/>
                          <w:divBdr>
                            <w:top w:val="none" w:sz="0" w:space="0" w:color="auto"/>
                            <w:left w:val="none" w:sz="0" w:space="0" w:color="auto"/>
                            <w:bottom w:val="none" w:sz="0" w:space="0" w:color="auto"/>
                            <w:right w:val="none" w:sz="0" w:space="0" w:color="auto"/>
                          </w:divBdr>
                          <w:divsChild>
                            <w:div w:id="1468743596">
                              <w:marLeft w:val="0"/>
                              <w:marRight w:val="0"/>
                              <w:marTop w:val="0"/>
                              <w:marBottom w:val="0"/>
                              <w:divBdr>
                                <w:top w:val="none" w:sz="0" w:space="0" w:color="auto"/>
                                <w:left w:val="none" w:sz="0" w:space="0" w:color="auto"/>
                                <w:bottom w:val="none" w:sz="0" w:space="0" w:color="auto"/>
                                <w:right w:val="none" w:sz="0" w:space="0" w:color="auto"/>
                              </w:divBdr>
                              <w:divsChild>
                                <w:div w:id="596405818">
                                  <w:marLeft w:val="0"/>
                                  <w:marRight w:val="0"/>
                                  <w:marTop w:val="0"/>
                                  <w:marBottom w:val="0"/>
                                  <w:divBdr>
                                    <w:top w:val="none" w:sz="0" w:space="0" w:color="auto"/>
                                    <w:left w:val="none" w:sz="0" w:space="0" w:color="auto"/>
                                    <w:bottom w:val="none" w:sz="0" w:space="0" w:color="auto"/>
                                    <w:right w:val="none" w:sz="0" w:space="0" w:color="auto"/>
                                  </w:divBdr>
                                  <w:divsChild>
                                    <w:div w:id="1062944226">
                                      <w:marLeft w:val="60"/>
                                      <w:marRight w:val="0"/>
                                      <w:marTop w:val="0"/>
                                      <w:marBottom w:val="0"/>
                                      <w:divBdr>
                                        <w:top w:val="none" w:sz="0" w:space="0" w:color="auto"/>
                                        <w:left w:val="none" w:sz="0" w:space="0" w:color="auto"/>
                                        <w:bottom w:val="none" w:sz="0" w:space="0" w:color="auto"/>
                                        <w:right w:val="none" w:sz="0" w:space="0" w:color="auto"/>
                                      </w:divBdr>
                                      <w:divsChild>
                                        <w:div w:id="473255393">
                                          <w:marLeft w:val="0"/>
                                          <w:marRight w:val="0"/>
                                          <w:marTop w:val="0"/>
                                          <w:marBottom w:val="0"/>
                                          <w:divBdr>
                                            <w:top w:val="none" w:sz="0" w:space="0" w:color="auto"/>
                                            <w:left w:val="none" w:sz="0" w:space="0" w:color="auto"/>
                                            <w:bottom w:val="none" w:sz="0" w:space="0" w:color="auto"/>
                                            <w:right w:val="none" w:sz="0" w:space="0" w:color="auto"/>
                                          </w:divBdr>
                                          <w:divsChild>
                                            <w:div w:id="1738042713">
                                              <w:marLeft w:val="0"/>
                                              <w:marRight w:val="0"/>
                                              <w:marTop w:val="0"/>
                                              <w:marBottom w:val="120"/>
                                              <w:divBdr>
                                                <w:top w:val="single" w:sz="6" w:space="0" w:color="F5F5F5"/>
                                                <w:left w:val="single" w:sz="6" w:space="0" w:color="F5F5F5"/>
                                                <w:bottom w:val="single" w:sz="6" w:space="0" w:color="F5F5F5"/>
                                                <w:right w:val="single" w:sz="6" w:space="0" w:color="F5F5F5"/>
                                              </w:divBdr>
                                              <w:divsChild>
                                                <w:div w:id="435953385">
                                                  <w:marLeft w:val="0"/>
                                                  <w:marRight w:val="0"/>
                                                  <w:marTop w:val="0"/>
                                                  <w:marBottom w:val="0"/>
                                                  <w:divBdr>
                                                    <w:top w:val="none" w:sz="0" w:space="0" w:color="auto"/>
                                                    <w:left w:val="none" w:sz="0" w:space="0" w:color="auto"/>
                                                    <w:bottom w:val="none" w:sz="0" w:space="0" w:color="auto"/>
                                                    <w:right w:val="none" w:sz="0" w:space="0" w:color="auto"/>
                                                  </w:divBdr>
                                                  <w:divsChild>
                                                    <w:div w:id="1603950909">
                                                      <w:marLeft w:val="0"/>
                                                      <w:marRight w:val="0"/>
                                                      <w:marTop w:val="0"/>
                                                      <w:marBottom w:val="0"/>
                                                      <w:divBdr>
                                                        <w:top w:val="none" w:sz="0" w:space="0" w:color="auto"/>
                                                        <w:left w:val="none" w:sz="0" w:space="0" w:color="auto"/>
                                                        <w:bottom w:val="none" w:sz="0" w:space="0" w:color="auto"/>
                                                        <w:right w:val="none" w:sz="0" w:space="0" w:color="auto"/>
                                                      </w:divBdr>
                                                      <w:divsChild>
                                                        <w:div w:id="20313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955104">
      <w:bodyDiv w:val="1"/>
      <w:marLeft w:val="0"/>
      <w:marRight w:val="0"/>
      <w:marTop w:val="0"/>
      <w:marBottom w:val="0"/>
      <w:divBdr>
        <w:top w:val="none" w:sz="0" w:space="0" w:color="auto"/>
        <w:left w:val="none" w:sz="0" w:space="0" w:color="auto"/>
        <w:bottom w:val="none" w:sz="0" w:space="0" w:color="auto"/>
        <w:right w:val="none" w:sz="0" w:space="0" w:color="auto"/>
      </w:divBdr>
    </w:div>
    <w:div w:id="1604922533">
      <w:bodyDiv w:val="1"/>
      <w:marLeft w:val="0"/>
      <w:marRight w:val="0"/>
      <w:marTop w:val="0"/>
      <w:marBottom w:val="0"/>
      <w:divBdr>
        <w:top w:val="none" w:sz="0" w:space="0" w:color="auto"/>
        <w:left w:val="none" w:sz="0" w:space="0" w:color="auto"/>
        <w:bottom w:val="none" w:sz="0" w:space="0" w:color="auto"/>
        <w:right w:val="none" w:sz="0" w:space="0" w:color="auto"/>
      </w:divBdr>
      <w:divsChild>
        <w:div w:id="794836715">
          <w:marLeft w:val="0"/>
          <w:marRight w:val="0"/>
          <w:marTop w:val="0"/>
          <w:marBottom w:val="0"/>
          <w:divBdr>
            <w:top w:val="none" w:sz="0" w:space="0" w:color="auto"/>
            <w:left w:val="none" w:sz="0" w:space="0" w:color="auto"/>
            <w:bottom w:val="none" w:sz="0" w:space="0" w:color="auto"/>
            <w:right w:val="none" w:sz="0" w:space="0" w:color="auto"/>
          </w:divBdr>
          <w:divsChild>
            <w:div w:id="1519196750">
              <w:marLeft w:val="0"/>
              <w:marRight w:val="0"/>
              <w:marTop w:val="0"/>
              <w:marBottom w:val="0"/>
              <w:divBdr>
                <w:top w:val="none" w:sz="0" w:space="0" w:color="auto"/>
                <w:left w:val="none" w:sz="0" w:space="0" w:color="auto"/>
                <w:bottom w:val="none" w:sz="0" w:space="0" w:color="auto"/>
                <w:right w:val="none" w:sz="0" w:space="0" w:color="auto"/>
              </w:divBdr>
              <w:divsChild>
                <w:div w:id="1315522184">
                  <w:marLeft w:val="0"/>
                  <w:marRight w:val="0"/>
                  <w:marTop w:val="0"/>
                  <w:marBottom w:val="0"/>
                  <w:divBdr>
                    <w:top w:val="none" w:sz="0" w:space="0" w:color="auto"/>
                    <w:left w:val="none" w:sz="0" w:space="0" w:color="auto"/>
                    <w:bottom w:val="none" w:sz="0" w:space="0" w:color="auto"/>
                    <w:right w:val="none" w:sz="0" w:space="0" w:color="auto"/>
                  </w:divBdr>
                  <w:divsChild>
                    <w:div w:id="553733221">
                      <w:marLeft w:val="0"/>
                      <w:marRight w:val="0"/>
                      <w:marTop w:val="0"/>
                      <w:marBottom w:val="0"/>
                      <w:divBdr>
                        <w:top w:val="none" w:sz="0" w:space="0" w:color="auto"/>
                        <w:left w:val="none" w:sz="0" w:space="0" w:color="auto"/>
                        <w:bottom w:val="none" w:sz="0" w:space="0" w:color="auto"/>
                        <w:right w:val="none" w:sz="0" w:space="0" w:color="auto"/>
                      </w:divBdr>
                      <w:divsChild>
                        <w:div w:id="1774014921">
                          <w:marLeft w:val="0"/>
                          <w:marRight w:val="0"/>
                          <w:marTop w:val="0"/>
                          <w:marBottom w:val="0"/>
                          <w:divBdr>
                            <w:top w:val="none" w:sz="0" w:space="0" w:color="auto"/>
                            <w:left w:val="none" w:sz="0" w:space="0" w:color="auto"/>
                            <w:bottom w:val="none" w:sz="0" w:space="0" w:color="auto"/>
                            <w:right w:val="none" w:sz="0" w:space="0" w:color="auto"/>
                          </w:divBdr>
                          <w:divsChild>
                            <w:div w:id="1991979311">
                              <w:marLeft w:val="0"/>
                              <w:marRight w:val="0"/>
                              <w:marTop w:val="0"/>
                              <w:marBottom w:val="0"/>
                              <w:divBdr>
                                <w:top w:val="none" w:sz="0" w:space="0" w:color="auto"/>
                                <w:left w:val="none" w:sz="0" w:space="0" w:color="auto"/>
                                <w:bottom w:val="none" w:sz="0" w:space="0" w:color="auto"/>
                                <w:right w:val="none" w:sz="0" w:space="0" w:color="auto"/>
                              </w:divBdr>
                              <w:divsChild>
                                <w:div w:id="2043479590">
                                  <w:marLeft w:val="0"/>
                                  <w:marRight w:val="0"/>
                                  <w:marTop w:val="0"/>
                                  <w:marBottom w:val="0"/>
                                  <w:divBdr>
                                    <w:top w:val="none" w:sz="0" w:space="0" w:color="auto"/>
                                    <w:left w:val="none" w:sz="0" w:space="0" w:color="auto"/>
                                    <w:bottom w:val="none" w:sz="0" w:space="0" w:color="auto"/>
                                    <w:right w:val="none" w:sz="0" w:space="0" w:color="auto"/>
                                  </w:divBdr>
                                  <w:divsChild>
                                    <w:div w:id="35861461">
                                      <w:marLeft w:val="60"/>
                                      <w:marRight w:val="0"/>
                                      <w:marTop w:val="0"/>
                                      <w:marBottom w:val="0"/>
                                      <w:divBdr>
                                        <w:top w:val="none" w:sz="0" w:space="0" w:color="auto"/>
                                        <w:left w:val="none" w:sz="0" w:space="0" w:color="auto"/>
                                        <w:bottom w:val="none" w:sz="0" w:space="0" w:color="auto"/>
                                        <w:right w:val="none" w:sz="0" w:space="0" w:color="auto"/>
                                      </w:divBdr>
                                      <w:divsChild>
                                        <w:div w:id="248119366">
                                          <w:marLeft w:val="0"/>
                                          <w:marRight w:val="0"/>
                                          <w:marTop w:val="0"/>
                                          <w:marBottom w:val="0"/>
                                          <w:divBdr>
                                            <w:top w:val="none" w:sz="0" w:space="0" w:color="auto"/>
                                            <w:left w:val="none" w:sz="0" w:space="0" w:color="auto"/>
                                            <w:bottom w:val="none" w:sz="0" w:space="0" w:color="auto"/>
                                            <w:right w:val="none" w:sz="0" w:space="0" w:color="auto"/>
                                          </w:divBdr>
                                          <w:divsChild>
                                            <w:div w:id="534076653">
                                              <w:marLeft w:val="0"/>
                                              <w:marRight w:val="0"/>
                                              <w:marTop w:val="0"/>
                                              <w:marBottom w:val="120"/>
                                              <w:divBdr>
                                                <w:top w:val="single" w:sz="6" w:space="0" w:color="F5F5F5"/>
                                                <w:left w:val="single" w:sz="6" w:space="0" w:color="F5F5F5"/>
                                                <w:bottom w:val="single" w:sz="6" w:space="0" w:color="F5F5F5"/>
                                                <w:right w:val="single" w:sz="6" w:space="0" w:color="F5F5F5"/>
                                              </w:divBdr>
                                              <w:divsChild>
                                                <w:div w:id="263077853">
                                                  <w:marLeft w:val="0"/>
                                                  <w:marRight w:val="0"/>
                                                  <w:marTop w:val="0"/>
                                                  <w:marBottom w:val="0"/>
                                                  <w:divBdr>
                                                    <w:top w:val="none" w:sz="0" w:space="0" w:color="auto"/>
                                                    <w:left w:val="none" w:sz="0" w:space="0" w:color="auto"/>
                                                    <w:bottom w:val="none" w:sz="0" w:space="0" w:color="auto"/>
                                                    <w:right w:val="none" w:sz="0" w:space="0" w:color="auto"/>
                                                  </w:divBdr>
                                                  <w:divsChild>
                                                    <w:div w:id="7194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3998465">
      <w:bodyDiv w:val="1"/>
      <w:marLeft w:val="0"/>
      <w:marRight w:val="0"/>
      <w:marTop w:val="0"/>
      <w:marBottom w:val="0"/>
      <w:divBdr>
        <w:top w:val="none" w:sz="0" w:space="0" w:color="auto"/>
        <w:left w:val="none" w:sz="0" w:space="0" w:color="auto"/>
        <w:bottom w:val="none" w:sz="0" w:space="0" w:color="auto"/>
        <w:right w:val="none" w:sz="0" w:space="0" w:color="auto"/>
      </w:divBdr>
    </w:div>
    <w:div w:id="1646012240">
      <w:bodyDiv w:val="1"/>
      <w:marLeft w:val="0"/>
      <w:marRight w:val="0"/>
      <w:marTop w:val="0"/>
      <w:marBottom w:val="0"/>
      <w:divBdr>
        <w:top w:val="none" w:sz="0" w:space="0" w:color="auto"/>
        <w:left w:val="none" w:sz="0" w:space="0" w:color="auto"/>
        <w:bottom w:val="none" w:sz="0" w:space="0" w:color="auto"/>
        <w:right w:val="none" w:sz="0" w:space="0" w:color="auto"/>
      </w:divBdr>
    </w:div>
    <w:div w:id="1697073883">
      <w:bodyDiv w:val="1"/>
      <w:marLeft w:val="0"/>
      <w:marRight w:val="0"/>
      <w:marTop w:val="0"/>
      <w:marBottom w:val="0"/>
      <w:divBdr>
        <w:top w:val="none" w:sz="0" w:space="0" w:color="auto"/>
        <w:left w:val="none" w:sz="0" w:space="0" w:color="auto"/>
        <w:bottom w:val="none" w:sz="0" w:space="0" w:color="auto"/>
        <w:right w:val="none" w:sz="0" w:space="0" w:color="auto"/>
      </w:divBdr>
      <w:divsChild>
        <w:div w:id="287859718">
          <w:marLeft w:val="0"/>
          <w:marRight w:val="0"/>
          <w:marTop w:val="0"/>
          <w:marBottom w:val="0"/>
          <w:divBdr>
            <w:top w:val="none" w:sz="0" w:space="0" w:color="auto"/>
            <w:left w:val="none" w:sz="0" w:space="0" w:color="auto"/>
            <w:bottom w:val="none" w:sz="0" w:space="0" w:color="auto"/>
            <w:right w:val="none" w:sz="0" w:space="0" w:color="auto"/>
          </w:divBdr>
          <w:divsChild>
            <w:div w:id="213782242">
              <w:marLeft w:val="0"/>
              <w:marRight w:val="0"/>
              <w:marTop w:val="0"/>
              <w:marBottom w:val="0"/>
              <w:divBdr>
                <w:top w:val="none" w:sz="0" w:space="0" w:color="auto"/>
                <w:left w:val="none" w:sz="0" w:space="0" w:color="auto"/>
                <w:bottom w:val="none" w:sz="0" w:space="0" w:color="auto"/>
                <w:right w:val="none" w:sz="0" w:space="0" w:color="auto"/>
              </w:divBdr>
              <w:divsChild>
                <w:div w:id="765460617">
                  <w:marLeft w:val="0"/>
                  <w:marRight w:val="0"/>
                  <w:marTop w:val="0"/>
                  <w:marBottom w:val="0"/>
                  <w:divBdr>
                    <w:top w:val="none" w:sz="0" w:space="0" w:color="auto"/>
                    <w:left w:val="none" w:sz="0" w:space="0" w:color="auto"/>
                    <w:bottom w:val="none" w:sz="0" w:space="0" w:color="auto"/>
                    <w:right w:val="none" w:sz="0" w:space="0" w:color="auto"/>
                  </w:divBdr>
                  <w:divsChild>
                    <w:div w:id="2031376515">
                      <w:marLeft w:val="0"/>
                      <w:marRight w:val="0"/>
                      <w:marTop w:val="0"/>
                      <w:marBottom w:val="0"/>
                      <w:divBdr>
                        <w:top w:val="none" w:sz="0" w:space="0" w:color="auto"/>
                        <w:left w:val="none" w:sz="0" w:space="0" w:color="auto"/>
                        <w:bottom w:val="none" w:sz="0" w:space="0" w:color="auto"/>
                        <w:right w:val="none" w:sz="0" w:space="0" w:color="auto"/>
                      </w:divBdr>
                      <w:divsChild>
                        <w:div w:id="935480121">
                          <w:marLeft w:val="0"/>
                          <w:marRight w:val="0"/>
                          <w:marTop w:val="0"/>
                          <w:marBottom w:val="0"/>
                          <w:divBdr>
                            <w:top w:val="none" w:sz="0" w:space="0" w:color="auto"/>
                            <w:left w:val="none" w:sz="0" w:space="0" w:color="auto"/>
                            <w:bottom w:val="none" w:sz="0" w:space="0" w:color="auto"/>
                            <w:right w:val="none" w:sz="0" w:space="0" w:color="auto"/>
                          </w:divBdr>
                          <w:divsChild>
                            <w:div w:id="1471706699">
                              <w:marLeft w:val="0"/>
                              <w:marRight w:val="0"/>
                              <w:marTop w:val="0"/>
                              <w:marBottom w:val="0"/>
                              <w:divBdr>
                                <w:top w:val="none" w:sz="0" w:space="0" w:color="auto"/>
                                <w:left w:val="none" w:sz="0" w:space="0" w:color="auto"/>
                                <w:bottom w:val="none" w:sz="0" w:space="0" w:color="auto"/>
                                <w:right w:val="none" w:sz="0" w:space="0" w:color="auto"/>
                              </w:divBdr>
                              <w:divsChild>
                                <w:div w:id="1875535388">
                                  <w:marLeft w:val="0"/>
                                  <w:marRight w:val="0"/>
                                  <w:marTop w:val="0"/>
                                  <w:marBottom w:val="0"/>
                                  <w:divBdr>
                                    <w:top w:val="none" w:sz="0" w:space="0" w:color="auto"/>
                                    <w:left w:val="none" w:sz="0" w:space="0" w:color="auto"/>
                                    <w:bottom w:val="none" w:sz="0" w:space="0" w:color="auto"/>
                                    <w:right w:val="none" w:sz="0" w:space="0" w:color="auto"/>
                                  </w:divBdr>
                                  <w:divsChild>
                                    <w:div w:id="1708874464">
                                      <w:marLeft w:val="60"/>
                                      <w:marRight w:val="0"/>
                                      <w:marTop w:val="0"/>
                                      <w:marBottom w:val="0"/>
                                      <w:divBdr>
                                        <w:top w:val="none" w:sz="0" w:space="0" w:color="auto"/>
                                        <w:left w:val="none" w:sz="0" w:space="0" w:color="auto"/>
                                        <w:bottom w:val="none" w:sz="0" w:space="0" w:color="auto"/>
                                        <w:right w:val="none" w:sz="0" w:space="0" w:color="auto"/>
                                      </w:divBdr>
                                      <w:divsChild>
                                        <w:div w:id="1425421392">
                                          <w:marLeft w:val="0"/>
                                          <w:marRight w:val="0"/>
                                          <w:marTop w:val="0"/>
                                          <w:marBottom w:val="0"/>
                                          <w:divBdr>
                                            <w:top w:val="none" w:sz="0" w:space="0" w:color="auto"/>
                                            <w:left w:val="none" w:sz="0" w:space="0" w:color="auto"/>
                                            <w:bottom w:val="none" w:sz="0" w:space="0" w:color="auto"/>
                                            <w:right w:val="none" w:sz="0" w:space="0" w:color="auto"/>
                                          </w:divBdr>
                                          <w:divsChild>
                                            <w:div w:id="854613781">
                                              <w:marLeft w:val="0"/>
                                              <w:marRight w:val="0"/>
                                              <w:marTop w:val="0"/>
                                              <w:marBottom w:val="120"/>
                                              <w:divBdr>
                                                <w:top w:val="single" w:sz="6" w:space="0" w:color="F5F5F5"/>
                                                <w:left w:val="single" w:sz="6" w:space="0" w:color="F5F5F5"/>
                                                <w:bottom w:val="single" w:sz="6" w:space="0" w:color="F5F5F5"/>
                                                <w:right w:val="single" w:sz="6" w:space="0" w:color="F5F5F5"/>
                                              </w:divBdr>
                                              <w:divsChild>
                                                <w:div w:id="533423266">
                                                  <w:marLeft w:val="0"/>
                                                  <w:marRight w:val="0"/>
                                                  <w:marTop w:val="0"/>
                                                  <w:marBottom w:val="0"/>
                                                  <w:divBdr>
                                                    <w:top w:val="none" w:sz="0" w:space="0" w:color="auto"/>
                                                    <w:left w:val="none" w:sz="0" w:space="0" w:color="auto"/>
                                                    <w:bottom w:val="none" w:sz="0" w:space="0" w:color="auto"/>
                                                    <w:right w:val="none" w:sz="0" w:space="0" w:color="auto"/>
                                                  </w:divBdr>
                                                  <w:divsChild>
                                                    <w:div w:id="13016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415132">
      <w:bodyDiv w:val="1"/>
      <w:marLeft w:val="0"/>
      <w:marRight w:val="0"/>
      <w:marTop w:val="0"/>
      <w:marBottom w:val="0"/>
      <w:divBdr>
        <w:top w:val="none" w:sz="0" w:space="0" w:color="auto"/>
        <w:left w:val="none" w:sz="0" w:space="0" w:color="auto"/>
        <w:bottom w:val="none" w:sz="0" w:space="0" w:color="auto"/>
        <w:right w:val="none" w:sz="0" w:space="0" w:color="auto"/>
      </w:divBdr>
    </w:div>
    <w:div w:id="1781290453">
      <w:bodyDiv w:val="1"/>
      <w:marLeft w:val="0"/>
      <w:marRight w:val="0"/>
      <w:marTop w:val="0"/>
      <w:marBottom w:val="0"/>
      <w:divBdr>
        <w:top w:val="none" w:sz="0" w:space="0" w:color="auto"/>
        <w:left w:val="none" w:sz="0" w:space="0" w:color="auto"/>
        <w:bottom w:val="none" w:sz="0" w:space="0" w:color="auto"/>
        <w:right w:val="none" w:sz="0" w:space="0" w:color="auto"/>
      </w:divBdr>
    </w:div>
    <w:div w:id="1794059910">
      <w:bodyDiv w:val="1"/>
      <w:marLeft w:val="0"/>
      <w:marRight w:val="0"/>
      <w:marTop w:val="0"/>
      <w:marBottom w:val="0"/>
      <w:divBdr>
        <w:top w:val="none" w:sz="0" w:space="0" w:color="auto"/>
        <w:left w:val="none" w:sz="0" w:space="0" w:color="auto"/>
        <w:bottom w:val="none" w:sz="0" w:space="0" w:color="auto"/>
        <w:right w:val="none" w:sz="0" w:space="0" w:color="auto"/>
      </w:divBdr>
    </w:div>
    <w:div w:id="1802991342">
      <w:bodyDiv w:val="1"/>
      <w:marLeft w:val="0"/>
      <w:marRight w:val="0"/>
      <w:marTop w:val="0"/>
      <w:marBottom w:val="0"/>
      <w:divBdr>
        <w:top w:val="none" w:sz="0" w:space="0" w:color="auto"/>
        <w:left w:val="none" w:sz="0" w:space="0" w:color="auto"/>
        <w:bottom w:val="none" w:sz="0" w:space="0" w:color="auto"/>
        <w:right w:val="none" w:sz="0" w:space="0" w:color="auto"/>
      </w:divBdr>
      <w:divsChild>
        <w:div w:id="3241391">
          <w:marLeft w:val="0"/>
          <w:marRight w:val="0"/>
          <w:marTop w:val="0"/>
          <w:marBottom w:val="0"/>
          <w:divBdr>
            <w:top w:val="none" w:sz="0" w:space="0" w:color="auto"/>
            <w:left w:val="none" w:sz="0" w:space="0" w:color="auto"/>
            <w:bottom w:val="none" w:sz="0" w:space="0" w:color="auto"/>
            <w:right w:val="none" w:sz="0" w:space="0" w:color="auto"/>
          </w:divBdr>
          <w:divsChild>
            <w:div w:id="10518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2439">
      <w:bodyDiv w:val="1"/>
      <w:marLeft w:val="0"/>
      <w:marRight w:val="0"/>
      <w:marTop w:val="0"/>
      <w:marBottom w:val="0"/>
      <w:divBdr>
        <w:top w:val="none" w:sz="0" w:space="0" w:color="auto"/>
        <w:left w:val="none" w:sz="0" w:space="0" w:color="auto"/>
        <w:bottom w:val="none" w:sz="0" w:space="0" w:color="auto"/>
        <w:right w:val="none" w:sz="0" w:space="0" w:color="auto"/>
      </w:divBdr>
    </w:div>
    <w:div w:id="1844733751">
      <w:bodyDiv w:val="1"/>
      <w:marLeft w:val="0"/>
      <w:marRight w:val="0"/>
      <w:marTop w:val="0"/>
      <w:marBottom w:val="0"/>
      <w:divBdr>
        <w:top w:val="none" w:sz="0" w:space="0" w:color="auto"/>
        <w:left w:val="none" w:sz="0" w:space="0" w:color="auto"/>
        <w:bottom w:val="none" w:sz="0" w:space="0" w:color="auto"/>
        <w:right w:val="none" w:sz="0" w:space="0" w:color="auto"/>
      </w:divBdr>
      <w:divsChild>
        <w:div w:id="154148263">
          <w:marLeft w:val="446"/>
          <w:marRight w:val="0"/>
          <w:marTop w:val="0"/>
          <w:marBottom w:val="0"/>
          <w:divBdr>
            <w:top w:val="none" w:sz="0" w:space="0" w:color="auto"/>
            <w:left w:val="none" w:sz="0" w:space="0" w:color="auto"/>
            <w:bottom w:val="none" w:sz="0" w:space="0" w:color="auto"/>
            <w:right w:val="none" w:sz="0" w:space="0" w:color="auto"/>
          </w:divBdr>
        </w:div>
        <w:div w:id="373233356">
          <w:marLeft w:val="446"/>
          <w:marRight w:val="0"/>
          <w:marTop w:val="0"/>
          <w:marBottom w:val="0"/>
          <w:divBdr>
            <w:top w:val="none" w:sz="0" w:space="0" w:color="auto"/>
            <w:left w:val="none" w:sz="0" w:space="0" w:color="auto"/>
            <w:bottom w:val="none" w:sz="0" w:space="0" w:color="auto"/>
            <w:right w:val="none" w:sz="0" w:space="0" w:color="auto"/>
          </w:divBdr>
        </w:div>
        <w:div w:id="816730720">
          <w:marLeft w:val="446"/>
          <w:marRight w:val="0"/>
          <w:marTop w:val="0"/>
          <w:marBottom w:val="0"/>
          <w:divBdr>
            <w:top w:val="none" w:sz="0" w:space="0" w:color="auto"/>
            <w:left w:val="none" w:sz="0" w:space="0" w:color="auto"/>
            <w:bottom w:val="none" w:sz="0" w:space="0" w:color="auto"/>
            <w:right w:val="none" w:sz="0" w:space="0" w:color="auto"/>
          </w:divBdr>
        </w:div>
      </w:divsChild>
    </w:div>
    <w:div w:id="1857964654">
      <w:bodyDiv w:val="1"/>
      <w:marLeft w:val="0"/>
      <w:marRight w:val="0"/>
      <w:marTop w:val="0"/>
      <w:marBottom w:val="0"/>
      <w:divBdr>
        <w:top w:val="none" w:sz="0" w:space="0" w:color="auto"/>
        <w:left w:val="none" w:sz="0" w:space="0" w:color="auto"/>
        <w:bottom w:val="none" w:sz="0" w:space="0" w:color="auto"/>
        <w:right w:val="none" w:sz="0" w:space="0" w:color="auto"/>
      </w:divBdr>
      <w:divsChild>
        <w:div w:id="448358013">
          <w:marLeft w:val="0"/>
          <w:marRight w:val="0"/>
          <w:marTop w:val="0"/>
          <w:marBottom w:val="0"/>
          <w:divBdr>
            <w:top w:val="none" w:sz="0" w:space="0" w:color="auto"/>
            <w:left w:val="none" w:sz="0" w:space="0" w:color="auto"/>
            <w:bottom w:val="none" w:sz="0" w:space="0" w:color="auto"/>
            <w:right w:val="none" w:sz="0" w:space="0" w:color="auto"/>
          </w:divBdr>
        </w:div>
      </w:divsChild>
    </w:div>
    <w:div w:id="1863283646">
      <w:bodyDiv w:val="1"/>
      <w:marLeft w:val="0"/>
      <w:marRight w:val="0"/>
      <w:marTop w:val="0"/>
      <w:marBottom w:val="0"/>
      <w:divBdr>
        <w:top w:val="none" w:sz="0" w:space="0" w:color="auto"/>
        <w:left w:val="none" w:sz="0" w:space="0" w:color="auto"/>
        <w:bottom w:val="none" w:sz="0" w:space="0" w:color="auto"/>
        <w:right w:val="none" w:sz="0" w:space="0" w:color="auto"/>
      </w:divBdr>
    </w:div>
    <w:div w:id="1870605800">
      <w:bodyDiv w:val="1"/>
      <w:marLeft w:val="0"/>
      <w:marRight w:val="0"/>
      <w:marTop w:val="0"/>
      <w:marBottom w:val="0"/>
      <w:divBdr>
        <w:top w:val="none" w:sz="0" w:space="0" w:color="auto"/>
        <w:left w:val="none" w:sz="0" w:space="0" w:color="auto"/>
        <w:bottom w:val="none" w:sz="0" w:space="0" w:color="auto"/>
        <w:right w:val="none" w:sz="0" w:space="0" w:color="auto"/>
      </w:divBdr>
    </w:div>
    <w:div w:id="1915430671">
      <w:bodyDiv w:val="1"/>
      <w:marLeft w:val="0"/>
      <w:marRight w:val="0"/>
      <w:marTop w:val="0"/>
      <w:marBottom w:val="0"/>
      <w:divBdr>
        <w:top w:val="none" w:sz="0" w:space="0" w:color="auto"/>
        <w:left w:val="none" w:sz="0" w:space="0" w:color="auto"/>
        <w:bottom w:val="none" w:sz="0" w:space="0" w:color="auto"/>
        <w:right w:val="none" w:sz="0" w:space="0" w:color="auto"/>
      </w:divBdr>
    </w:div>
    <w:div w:id="1915705341">
      <w:bodyDiv w:val="1"/>
      <w:marLeft w:val="0"/>
      <w:marRight w:val="0"/>
      <w:marTop w:val="0"/>
      <w:marBottom w:val="0"/>
      <w:divBdr>
        <w:top w:val="none" w:sz="0" w:space="0" w:color="auto"/>
        <w:left w:val="none" w:sz="0" w:space="0" w:color="auto"/>
        <w:bottom w:val="none" w:sz="0" w:space="0" w:color="auto"/>
        <w:right w:val="none" w:sz="0" w:space="0" w:color="auto"/>
      </w:divBdr>
    </w:div>
    <w:div w:id="1930893076">
      <w:bodyDiv w:val="1"/>
      <w:marLeft w:val="0"/>
      <w:marRight w:val="0"/>
      <w:marTop w:val="0"/>
      <w:marBottom w:val="0"/>
      <w:divBdr>
        <w:top w:val="none" w:sz="0" w:space="0" w:color="auto"/>
        <w:left w:val="none" w:sz="0" w:space="0" w:color="auto"/>
        <w:bottom w:val="none" w:sz="0" w:space="0" w:color="auto"/>
        <w:right w:val="none" w:sz="0" w:space="0" w:color="auto"/>
      </w:divBdr>
      <w:divsChild>
        <w:div w:id="1922835371">
          <w:marLeft w:val="0"/>
          <w:marRight w:val="0"/>
          <w:marTop w:val="0"/>
          <w:marBottom w:val="0"/>
          <w:divBdr>
            <w:top w:val="none" w:sz="0" w:space="0" w:color="auto"/>
            <w:left w:val="none" w:sz="0" w:space="0" w:color="auto"/>
            <w:bottom w:val="none" w:sz="0" w:space="0" w:color="auto"/>
            <w:right w:val="none" w:sz="0" w:space="0" w:color="auto"/>
          </w:divBdr>
          <w:divsChild>
            <w:div w:id="499124911">
              <w:marLeft w:val="0"/>
              <w:marRight w:val="0"/>
              <w:marTop w:val="0"/>
              <w:marBottom w:val="0"/>
              <w:divBdr>
                <w:top w:val="none" w:sz="0" w:space="0" w:color="auto"/>
                <w:left w:val="none" w:sz="0" w:space="0" w:color="auto"/>
                <w:bottom w:val="none" w:sz="0" w:space="0" w:color="auto"/>
                <w:right w:val="none" w:sz="0" w:space="0" w:color="auto"/>
              </w:divBdr>
              <w:divsChild>
                <w:div w:id="1908375305">
                  <w:marLeft w:val="0"/>
                  <w:marRight w:val="0"/>
                  <w:marTop w:val="0"/>
                  <w:marBottom w:val="0"/>
                  <w:divBdr>
                    <w:top w:val="none" w:sz="0" w:space="0" w:color="auto"/>
                    <w:left w:val="none" w:sz="0" w:space="0" w:color="auto"/>
                    <w:bottom w:val="none" w:sz="0" w:space="0" w:color="auto"/>
                    <w:right w:val="none" w:sz="0" w:space="0" w:color="auto"/>
                  </w:divBdr>
                  <w:divsChild>
                    <w:div w:id="1121848560">
                      <w:marLeft w:val="0"/>
                      <w:marRight w:val="0"/>
                      <w:marTop w:val="0"/>
                      <w:marBottom w:val="0"/>
                      <w:divBdr>
                        <w:top w:val="none" w:sz="0" w:space="0" w:color="auto"/>
                        <w:left w:val="none" w:sz="0" w:space="0" w:color="auto"/>
                        <w:bottom w:val="none" w:sz="0" w:space="0" w:color="auto"/>
                        <w:right w:val="none" w:sz="0" w:space="0" w:color="auto"/>
                      </w:divBdr>
                      <w:divsChild>
                        <w:div w:id="286857323">
                          <w:marLeft w:val="0"/>
                          <w:marRight w:val="0"/>
                          <w:marTop w:val="0"/>
                          <w:marBottom w:val="0"/>
                          <w:divBdr>
                            <w:top w:val="none" w:sz="0" w:space="0" w:color="auto"/>
                            <w:left w:val="none" w:sz="0" w:space="0" w:color="auto"/>
                            <w:bottom w:val="none" w:sz="0" w:space="0" w:color="auto"/>
                            <w:right w:val="none" w:sz="0" w:space="0" w:color="auto"/>
                          </w:divBdr>
                          <w:divsChild>
                            <w:div w:id="1977952132">
                              <w:marLeft w:val="0"/>
                              <w:marRight w:val="0"/>
                              <w:marTop w:val="0"/>
                              <w:marBottom w:val="0"/>
                              <w:divBdr>
                                <w:top w:val="none" w:sz="0" w:space="0" w:color="auto"/>
                                <w:left w:val="none" w:sz="0" w:space="0" w:color="auto"/>
                                <w:bottom w:val="none" w:sz="0" w:space="0" w:color="auto"/>
                                <w:right w:val="none" w:sz="0" w:space="0" w:color="auto"/>
                              </w:divBdr>
                              <w:divsChild>
                                <w:div w:id="1651860920">
                                  <w:marLeft w:val="0"/>
                                  <w:marRight w:val="0"/>
                                  <w:marTop w:val="0"/>
                                  <w:marBottom w:val="0"/>
                                  <w:divBdr>
                                    <w:top w:val="none" w:sz="0" w:space="0" w:color="auto"/>
                                    <w:left w:val="none" w:sz="0" w:space="0" w:color="auto"/>
                                    <w:bottom w:val="none" w:sz="0" w:space="0" w:color="auto"/>
                                    <w:right w:val="none" w:sz="0" w:space="0" w:color="auto"/>
                                  </w:divBdr>
                                  <w:divsChild>
                                    <w:div w:id="2042629270">
                                      <w:marLeft w:val="60"/>
                                      <w:marRight w:val="0"/>
                                      <w:marTop w:val="0"/>
                                      <w:marBottom w:val="0"/>
                                      <w:divBdr>
                                        <w:top w:val="none" w:sz="0" w:space="0" w:color="auto"/>
                                        <w:left w:val="none" w:sz="0" w:space="0" w:color="auto"/>
                                        <w:bottom w:val="none" w:sz="0" w:space="0" w:color="auto"/>
                                        <w:right w:val="none" w:sz="0" w:space="0" w:color="auto"/>
                                      </w:divBdr>
                                      <w:divsChild>
                                        <w:div w:id="829489629">
                                          <w:marLeft w:val="0"/>
                                          <w:marRight w:val="0"/>
                                          <w:marTop w:val="0"/>
                                          <w:marBottom w:val="0"/>
                                          <w:divBdr>
                                            <w:top w:val="none" w:sz="0" w:space="0" w:color="auto"/>
                                            <w:left w:val="none" w:sz="0" w:space="0" w:color="auto"/>
                                            <w:bottom w:val="none" w:sz="0" w:space="0" w:color="auto"/>
                                            <w:right w:val="none" w:sz="0" w:space="0" w:color="auto"/>
                                          </w:divBdr>
                                          <w:divsChild>
                                            <w:div w:id="537200685">
                                              <w:marLeft w:val="0"/>
                                              <w:marRight w:val="0"/>
                                              <w:marTop w:val="0"/>
                                              <w:marBottom w:val="120"/>
                                              <w:divBdr>
                                                <w:top w:val="single" w:sz="6" w:space="0" w:color="F5F5F5"/>
                                                <w:left w:val="single" w:sz="6" w:space="0" w:color="F5F5F5"/>
                                                <w:bottom w:val="single" w:sz="6" w:space="0" w:color="F5F5F5"/>
                                                <w:right w:val="single" w:sz="6" w:space="0" w:color="F5F5F5"/>
                                              </w:divBdr>
                                              <w:divsChild>
                                                <w:div w:id="213660433">
                                                  <w:marLeft w:val="0"/>
                                                  <w:marRight w:val="0"/>
                                                  <w:marTop w:val="0"/>
                                                  <w:marBottom w:val="0"/>
                                                  <w:divBdr>
                                                    <w:top w:val="none" w:sz="0" w:space="0" w:color="auto"/>
                                                    <w:left w:val="none" w:sz="0" w:space="0" w:color="auto"/>
                                                    <w:bottom w:val="none" w:sz="0" w:space="0" w:color="auto"/>
                                                    <w:right w:val="none" w:sz="0" w:space="0" w:color="auto"/>
                                                  </w:divBdr>
                                                  <w:divsChild>
                                                    <w:div w:id="287930266">
                                                      <w:marLeft w:val="0"/>
                                                      <w:marRight w:val="0"/>
                                                      <w:marTop w:val="0"/>
                                                      <w:marBottom w:val="0"/>
                                                      <w:divBdr>
                                                        <w:top w:val="none" w:sz="0" w:space="0" w:color="auto"/>
                                                        <w:left w:val="none" w:sz="0" w:space="0" w:color="auto"/>
                                                        <w:bottom w:val="none" w:sz="0" w:space="0" w:color="auto"/>
                                                        <w:right w:val="none" w:sz="0" w:space="0" w:color="auto"/>
                                                      </w:divBdr>
                                                      <w:divsChild>
                                                        <w:div w:id="14931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2904">
                                                  <w:marLeft w:val="0"/>
                                                  <w:marRight w:val="0"/>
                                                  <w:marTop w:val="0"/>
                                                  <w:marBottom w:val="0"/>
                                                  <w:divBdr>
                                                    <w:top w:val="none" w:sz="0" w:space="0" w:color="auto"/>
                                                    <w:left w:val="none" w:sz="0" w:space="0" w:color="auto"/>
                                                    <w:bottom w:val="none" w:sz="0" w:space="0" w:color="auto"/>
                                                    <w:right w:val="none" w:sz="0" w:space="0" w:color="auto"/>
                                                  </w:divBdr>
                                                  <w:divsChild>
                                                    <w:div w:id="169687036">
                                                      <w:marLeft w:val="0"/>
                                                      <w:marRight w:val="0"/>
                                                      <w:marTop w:val="0"/>
                                                      <w:marBottom w:val="0"/>
                                                      <w:divBdr>
                                                        <w:top w:val="none" w:sz="0" w:space="0" w:color="auto"/>
                                                        <w:left w:val="none" w:sz="0" w:space="0" w:color="auto"/>
                                                        <w:bottom w:val="none" w:sz="0" w:space="0" w:color="auto"/>
                                                        <w:right w:val="none" w:sz="0" w:space="0" w:color="auto"/>
                                                      </w:divBdr>
                                                      <w:divsChild>
                                                        <w:div w:id="7340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945960">
      <w:bodyDiv w:val="1"/>
      <w:marLeft w:val="0"/>
      <w:marRight w:val="0"/>
      <w:marTop w:val="0"/>
      <w:marBottom w:val="0"/>
      <w:divBdr>
        <w:top w:val="none" w:sz="0" w:space="0" w:color="auto"/>
        <w:left w:val="none" w:sz="0" w:space="0" w:color="auto"/>
        <w:bottom w:val="none" w:sz="0" w:space="0" w:color="auto"/>
        <w:right w:val="none" w:sz="0" w:space="0" w:color="auto"/>
      </w:divBdr>
    </w:div>
    <w:div w:id="2067024750">
      <w:bodyDiv w:val="1"/>
      <w:marLeft w:val="0"/>
      <w:marRight w:val="0"/>
      <w:marTop w:val="0"/>
      <w:marBottom w:val="0"/>
      <w:divBdr>
        <w:top w:val="none" w:sz="0" w:space="0" w:color="auto"/>
        <w:left w:val="none" w:sz="0" w:space="0" w:color="auto"/>
        <w:bottom w:val="none" w:sz="0" w:space="0" w:color="auto"/>
        <w:right w:val="none" w:sz="0" w:space="0" w:color="auto"/>
      </w:divBdr>
      <w:divsChild>
        <w:div w:id="159390625">
          <w:marLeft w:val="0"/>
          <w:marRight w:val="0"/>
          <w:marTop w:val="0"/>
          <w:marBottom w:val="0"/>
          <w:divBdr>
            <w:top w:val="none" w:sz="0" w:space="0" w:color="auto"/>
            <w:left w:val="none" w:sz="0" w:space="0" w:color="auto"/>
            <w:bottom w:val="none" w:sz="0" w:space="0" w:color="auto"/>
            <w:right w:val="none" w:sz="0" w:space="0" w:color="auto"/>
          </w:divBdr>
          <w:divsChild>
            <w:div w:id="1271087252">
              <w:marLeft w:val="0"/>
              <w:marRight w:val="0"/>
              <w:marTop w:val="0"/>
              <w:marBottom w:val="0"/>
              <w:divBdr>
                <w:top w:val="none" w:sz="0" w:space="0" w:color="auto"/>
                <w:left w:val="none" w:sz="0" w:space="0" w:color="auto"/>
                <w:bottom w:val="none" w:sz="0" w:space="0" w:color="auto"/>
                <w:right w:val="none" w:sz="0" w:space="0" w:color="auto"/>
              </w:divBdr>
              <w:divsChild>
                <w:div w:id="744692429">
                  <w:marLeft w:val="0"/>
                  <w:marRight w:val="0"/>
                  <w:marTop w:val="0"/>
                  <w:marBottom w:val="0"/>
                  <w:divBdr>
                    <w:top w:val="none" w:sz="0" w:space="0" w:color="auto"/>
                    <w:left w:val="none" w:sz="0" w:space="0" w:color="auto"/>
                    <w:bottom w:val="none" w:sz="0" w:space="0" w:color="auto"/>
                    <w:right w:val="none" w:sz="0" w:space="0" w:color="auto"/>
                  </w:divBdr>
                  <w:divsChild>
                    <w:div w:id="1752510665">
                      <w:marLeft w:val="0"/>
                      <w:marRight w:val="0"/>
                      <w:marTop w:val="0"/>
                      <w:marBottom w:val="0"/>
                      <w:divBdr>
                        <w:top w:val="none" w:sz="0" w:space="0" w:color="auto"/>
                        <w:left w:val="none" w:sz="0" w:space="0" w:color="auto"/>
                        <w:bottom w:val="none" w:sz="0" w:space="0" w:color="auto"/>
                        <w:right w:val="none" w:sz="0" w:space="0" w:color="auto"/>
                      </w:divBdr>
                      <w:divsChild>
                        <w:div w:id="1141733240">
                          <w:marLeft w:val="0"/>
                          <w:marRight w:val="0"/>
                          <w:marTop w:val="0"/>
                          <w:marBottom w:val="0"/>
                          <w:divBdr>
                            <w:top w:val="none" w:sz="0" w:space="0" w:color="auto"/>
                            <w:left w:val="none" w:sz="0" w:space="0" w:color="auto"/>
                            <w:bottom w:val="none" w:sz="0" w:space="0" w:color="auto"/>
                            <w:right w:val="none" w:sz="0" w:space="0" w:color="auto"/>
                          </w:divBdr>
                          <w:divsChild>
                            <w:div w:id="1058936108">
                              <w:marLeft w:val="0"/>
                              <w:marRight w:val="0"/>
                              <w:marTop w:val="0"/>
                              <w:marBottom w:val="0"/>
                              <w:divBdr>
                                <w:top w:val="none" w:sz="0" w:space="0" w:color="auto"/>
                                <w:left w:val="none" w:sz="0" w:space="0" w:color="auto"/>
                                <w:bottom w:val="none" w:sz="0" w:space="0" w:color="auto"/>
                                <w:right w:val="none" w:sz="0" w:space="0" w:color="auto"/>
                              </w:divBdr>
                              <w:divsChild>
                                <w:div w:id="703988374">
                                  <w:marLeft w:val="0"/>
                                  <w:marRight w:val="0"/>
                                  <w:marTop w:val="0"/>
                                  <w:marBottom w:val="0"/>
                                  <w:divBdr>
                                    <w:top w:val="none" w:sz="0" w:space="0" w:color="auto"/>
                                    <w:left w:val="none" w:sz="0" w:space="0" w:color="auto"/>
                                    <w:bottom w:val="none" w:sz="0" w:space="0" w:color="auto"/>
                                    <w:right w:val="none" w:sz="0" w:space="0" w:color="auto"/>
                                  </w:divBdr>
                                  <w:divsChild>
                                    <w:div w:id="770245653">
                                      <w:marLeft w:val="60"/>
                                      <w:marRight w:val="0"/>
                                      <w:marTop w:val="0"/>
                                      <w:marBottom w:val="0"/>
                                      <w:divBdr>
                                        <w:top w:val="none" w:sz="0" w:space="0" w:color="auto"/>
                                        <w:left w:val="none" w:sz="0" w:space="0" w:color="auto"/>
                                        <w:bottom w:val="none" w:sz="0" w:space="0" w:color="auto"/>
                                        <w:right w:val="none" w:sz="0" w:space="0" w:color="auto"/>
                                      </w:divBdr>
                                      <w:divsChild>
                                        <w:div w:id="1228222965">
                                          <w:marLeft w:val="0"/>
                                          <w:marRight w:val="0"/>
                                          <w:marTop w:val="0"/>
                                          <w:marBottom w:val="0"/>
                                          <w:divBdr>
                                            <w:top w:val="none" w:sz="0" w:space="0" w:color="auto"/>
                                            <w:left w:val="none" w:sz="0" w:space="0" w:color="auto"/>
                                            <w:bottom w:val="none" w:sz="0" w:space="0" w:color="auto"/>
                                            <w:right w:val="none" w:sz="0" w:space="0" w:color="auto"/>
                                          </w:divBdr>
                                          <w:divsChild>
                                            <w:div w:id="1078090547">
                                              <w:marLeft w:val="0"/>
                                              <w:marRight w:val="0"/>
                                              <w:marTop w:val="0"/>
                                              <w:marBottom w:val="120"/>
                                              <w:divBdr>
                                                <w:top w:val="single" w:sz="6" w:space="0" w:color="F5F5F5"/>
                                                <w:left w:val="single" w:sz="6" w:space="0" w:color="F5F5F5"/>
                                                <w:bottom w:val="single" w:sz="6" w:space="0" w:color="F5F5F5"/>
                                                <w:right w:val="single" w:sz="6" w:space="0" w:color="F5F5F5"/>
                                              </w:divBdr>
                                              <w:divsChild>
                                                <w:div w:id="684139687">
                                                  <w:marLeft w:val="0"/>
                                                  <w:marRight w:val="0"/>
                                                  <w:marTop w:val="0"/>
                                                  <w:marBottom w:val="0"/>
                                                  <w:divBdr>
                                                    <w:top w:val="none" w:sz="0" w:space="0" w:color="auto"/>
                                                    <w:left w:val="none" w:sz="0" w:space="0" w:color="auto"/>
                                                    <w:bottom w:val="none" w:sz="0" w:space="0" w:color="auto"/>
                                                    <w:right w:val="none" w:sz="0" w:space="0" w:color="auto"/>
                                                  </w:divBdr>
                                                  <w:divsChild>
                                                    <w:div w:id="1770658028">
                                                      <w:marLeft w:val="0"/>
                                                      <w:marRight w:val="0"/>
                                                      <w:marTop w:val="0"/>
                                                      <w:marBottom w:val="0"/>
                                                      <w:divBdr>
                                                        <w:top w:val="none" w:sz="0" w:space="0" w:color="auto"/>
                                                        <w:left w:val="none" w:sz="0" w:space="0" w:color="auto"/>
                                                        <w:bottom w:val="none" w:sz="0" w:space="0" w:color="auto"/>
                                                        <w:right w:val="none" w:sz="0" w:space="0" w:color="auto"/>
                                                      </w:divBdr>
                                                      <w:divsChild>
                                                        <w:div w:id="12861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1198">
                                                  <w:marLeft w:val="0"/>
                                                  <w:marRight w:val="0"/>
                                                  <w:marTop w:val="0"/>
                                                  <w:marBottom w:val="0"/>
                                                  <w:divBdr>
                                                    <w:top w:val="none" w:sz="0" w:space="0" w:color="auto"/>
                                                    <w:left w:val="none" w:sz="0" w:space="0" w:color="auto"/>
                                                    <w:bottom w:val="none" w:sz="0" w:space="0" w:color="auto"/>
                                                    <w:right w:val="none" w:sz="0" w:space="0" w:color="auto"/>
                                                  </w:divBdr>
                                                  <w:divsChild>
                                                    <w:div w:id="18853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351962">
      <w:bodyDiv w:val="1"/>
      <w:marLeft w:val="0"/>
      <w:marRight w:val="0"/>
      <w:marTop w:val="0"/>
      <w:marBottom w:val="0"/>
      <w:divBdr>
        <w:top w:val="none" w:sz="0" w:space="0" w:color="auto"/>
        <w:left w:val="none" w:sz="0" w:space="0" w:color="auto"/>
        <w:bottom w:val="none" w:sz="0" w:space="0" w:color="auto"/>
        <w:right w:val="none" w:sz="0" w:space="0" w:color="auto"/>
      </w:divBdr>
    </w:div>
    <w:div w:id="2135755762">
      <w:bodyDiv w:val="1"/>
      <w:marLeft w:val="0"/>
      <w:marRight w:val="0"/>
      <w:marTop w:val="0"/>
      <w:marBottom w:val="0"/>
      <w:divBdr>
        <w:top w:val="none" w:sz="0" w:space="0" w:color="auto"/>
        <w:left w:val="none" w:sz="0" w:space="0" w:color="auto"/>
        <w:bottom w:val="none" w:sz="0" w:space="0" w:color="auto"/>
        <w:right w:val="none" w:sz="0" w:space="0" w:color="auto"/>
      </w:divBdr>
    </w:div>
    <w:div w:id="21427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t.ly/3hOKZzE" TargetMode="External"/><Relationship Id="rId21" Type="http://schemas.openxmlformats.org/officeDocument/2006/relationships/hyperlink" Target="https://bit.ly/3Cm6fVA" TargetMode="External"/><Relationship Id="rId42" Type="http://schemas.openxmlformats.org/officeDocument/2006/relationships/hyperlink" Target="https://bit.ly/3hOKZzE" TargetMode="External"/><Relationship Id="rId47" Type="http://schemas.openxmlformats.org/officeDocument/2006/relationships/hyperlink" Target="https://bioenergyeurope.org/29-statistical-reports/252-biofuels-for-transport.html" TargetMode="External"/><Relationship Id="rId63" Type="http://schemas.openxmlformats.org/officeDocument/2006/relationships/hyperlink" Target="https://bit.ly/3lbEjwm" TargetMode="External"/><Relationship Id="rId68" Type="http://schemas.openxmlformats.org/officeDocument/2006/relationships/hyperlink" Target="https://www.energy-community.org/implementation/Ukraine/reporting.html" TargetMode="External"/><Relationship Id="rId2" Type="http://schemas.openxmlformats.org/officeDocument/2006/relationships/numbering" Target="numbering.xml"/><Relationship Id="rId16" Type="http://schemas.openxmlformats.org/officeDocument/2006/relationships/hyperlink" Target="https://bioenergyeurope.org/29-statistical-reports/252-biofuels-for-transport.html" TargetMode="External"/><Relationship Id="rId29" Type="http://schemas.openxmlformats.org/officeDocument/2006/relationships/hyperlink" Target="https://eur-lex.europa.eu/legal-content/EN/TXT/?uri=CELEX%3A52019DC0640&amp;qid=1603445111690" TargetMode="External"/><Relationship Id="rId11" Type="http://schemas.openxmlformats.org/officeDocument/2006/relationships/image" Target="media/image4.jpeg"/><Relationship Id="rId24" Type="http://schemas.openxmlformats.org/officeDocument/2006/relationships/hyperlink" Target="https://saee.gov.ua/sites/default/files/RE_SAEE_2019.pdf" TargetMode="External"/><Relationship Id="rId32" Type="http://schemas.openxmlformats.org/officeDocument/2006/relationships/hyperlink" Target="https://bioenergyeurope.org/29-statistical-reports/252-biofuels-for-transport.html" TargetMode="External"/><Relationship Id="rId37" Type="http://schemas.openxmlformats.org/officeDocument/2006/relationships/hyperlink" Target="https://fra.org.ua/uk/st/statistika/infoghrafika/park-elektromobiliv-v-ukrayini" TargetMode="External"/><Relationship Id="rId40" Type="http://schemas.openxmlformats.org/officeDocument/2006/relationships/hyperlink" Target="https://saee.gov.ua/sites/default/files/RE_SAEE_2019.pdf" TargetMode="External"/><Relationship Id="rId45" Type="http://schemas.openxmlformats.org/officeDocument/2006/relationships/hyperlink" Target="https://eur-lex.europa.eu/eli/dir/2018/2001/2018-12-21" TargetMode="External"/><Relationship Id="rId53" Type="http://schemas.openxmlformats.org/officeDocument/2006/relationships/hyperlink" Target="https://www.energy-community.org/implementation/Ukraine/reporting.html" TargetMode="External"/><Relationship Id="rId58" Type="http://schemas.openxmlformats.org/officeDocument/2006/relationships/hyperlink" Target="https://eur-lex.europa.eu/legal-content/EN/TXT/?uri=CELEX%3A52019DC0640&amp;qid=1603445111690" TargetMode="External"/><Relationship Id="rId66" Type="http://schemas.openxmlformats.org/officeDocument/2006/relationships/hyperlink" Target="https://fra.org.ua/uk/st/statistika/infoghrafika/park-elektromobiliv-v-ukrayini"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ioenergyeurope.org/29-statistical-reports/252-biofuels-for-transport.html" TargetMode="External"/><Relationship Id="rId19" Type="http://schemas.openxmlformats.org/officeDocument/2006/relationships/hyperlink" Target="https://ec.europa.eu/energy/sites/ener/files/documents/se_final_necp_main_en.pdf" TargetMode="External"/><Relationship Id="rId14" Type="http://schemas.openxmlformats.org/officeDocument/2006/relationships/hyperlink" Target="https://eur-lex.europa.eu/eli/dir/2018/2001/2018-12-21" TargetMode="External"/><Relationship Id="rId22" Type="http://schemas.openxmlformats.org/officeDocument/2006/relationships/hyperlink" Target="https://www.energy-community.org/implementation/Ukraine/reporting.html" TargetMode="External"/><Relationship Id="rId27" Type="http://schemas.openxmlformats.org/officeDocument/2006/relationships/footer" Target="footer1.xml"/><Relationship Id="rId30" Type="http://schemas.openxmlformats.org/officeDocument/2006/relationships/hyperlink" Target="https://eur-lex.europa.eu/eli/dir/2009/28/oj" TargetMode="External"/><Relationship Id="rId35" Type="http://schemas.openxmlformats.org/officeDocument/2006/relationships/hyperlink" Target="https://www.ren21.net/wp-content/uploads/2019/05/GSR2021_Full_Report.pdf" TargetMode="External"/><Relationship Id="rId43" Type="http://schemas.openxmlformats.org/officeDocument/2006/relationships/hyperlink" Target="https://eur-lex.europa.eu/legal-content/EN/TXT/?uri=CELEX%3A52019DC0640&amp;qid=1603445111690" TargetMode="External"/><Relationship Id="rId48" Type="http://schemas.openxmlformats.org/officeDocument/2006/relationships/hyperlink" Target="https://bit.ly/3lbEjwm" TargetMode="External"/><Relationship Id="rId56" Type="http://schemas.openxmlformats.org/officeDocument/2006/relationships/hyperlink" Target="https://zakon.rada.gov.ua/laws/show/430-2018-%D1%80" TargetMode="External"/><Relationship Id="rId64" Type="http://schemas.openxmlformats.org/officeDocument/2006/relationships/hyperlink" Target="https://www.ren21.net/wp-content/uploads/2019/05/GSR2021_Full_Report.pdf" TargetMode="External"/><Relationship Id="rId69" Type="http://schemas.openxmlformats.org/officeDocument/2006/relationships/hyperlink" Target="https://zakon.rada.gov.ua/laws/show/902-2014-%D1%80" TargetMode="External"/><Relationship Id="rId8" Type="http://schemas.openxmlformats.org/officeDocument/2006/relationships/image" Target="media/image1.jpeg"/><Relationship Id="rId51" Type="http://schemas.openxmlformats.org/officeDocument/2006/relationships/hyperlink" Target="https://fra.org.ua/uk/st/statistika/infoghrafika/park-elektromobiliv-v-ukrayini" TargetMode="External"/><Relationship Id="rId72" Type="http://schemas.openxmlformats.org/officeDocument/2006/relationships/hyperlink" Target="https://bit.ly/3hOKZzE" TargetMode="External"/><Relationship Id="rId3" Type="http://schemas.openxmlformats.org/officeDocument/2006/relationships/styles" Target="styles.xml"/><Relationship Id="rId12" Type="http://schemas.openxmlformats.org/officeDocument/2006/relationships/hyperlink" Target="https://eur-lex.europa.eu/legal-content/EN/TXT/?uri=CELEX%3A52019DC0640&amp;qid=1603445111690" TargetMode="External"/><Relationship Id="rId17" Type="http://schemas.openxmlformats.org/officeDocument/2006/relationships/hyperlink" Target="https://bit.ly/3lbEjwm" TargetMode="External"/><Relationship Id="rId25" Type="http://schemas.openxmlformats.org/officeDocument/2006/relationships/hyperlink" Target="https://zakon.rada.gov.ua/laws/show/430-2018-%D1%80" TargetMode="External"/><Relationship Id="rId33" Type="http://schemas.openxmlformats.org/officeDocument/2006/relationships/hyperlink" Target="https://bioenergyeurope.org/29-statistical-reports/252-biofuels-for-transport.html" TargetMode="External"/><Relationship Id="rId38" Type="http://schemas.openxmlformats.org/officeDocument/2006/relationships/hyperlink" Target="https://www.energy-community.org/implementation/Ukraine/reporting.html" TargetMode="External"/><Relationship Id="rId46" Type="http://schemas.openxmlformats.org/officeDocument/2006/relationships/hyperlink" Target="https://bioenergyeurope.org/29-statistical-reports/252-biofuels-for-transport.html" TargetMode="External"/><Relationship Id="rId59" Type="http://schemas.openxmlformats.org/officeDocument/2006/relationships/hyperlink" Target="https://eur-lex.europa.eu/eli/dir/2009/28/oj" TargetMode="External"/><Relationship Id="rId67" Type="http://schemas.openxmlformats.org/officeDocument/2006/relationships/hyperlink" Target="https://bit.ly/3Cm6fVA" TargetMode="External"/><Relationship Id="rId20" Type="http://schemas.openxmlformats.org/officeDocument/2006/relationships/hyperlink" Target="https://fra.org.ua/uk/st/statistika/infoghrafika/park-elektromobiliv-v-ukrayini" TargetMode="External"/><Relationship Id="rId41" Type="http://schemas.openxmlformats.org/officeDocument/2006/relationships/hyperlink" Target="https://zakon.rada.gov.ua/laws/show/430-2018-%D1%80" TargetMode="External"/><Relationship Id="rId54" Type="http://schemas.openxmlformats.org/officeDocument/2006/relationships/hyperlink" Target="https://zakon.rada.gov.ua/laws/show/902-2014-%D1%80" TargetMode="External"/><Relationship Id="rId62" Type="http://schemas.openxmlformats.org/officeDocument/2006/relationships/hyperlink" Target="https://bioenergyeurope.org/29-statistical-reports/252-biofuels-for-transport.html" TargetMode="External"/><Relationship Id="rId70" Type="http://schemas.openxmlformats.org/officeDocument/2006/relationships/hyperlink" Target="https://saee.gov.ua/sites/default/files/RE_SAEE_201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oenergyeurope.org/29-statistical-reports/252-biofuels-for-transport.html" TargetMode="External"/><Relationship Id="rId23" Type="http://schemas.openxmlformats.org/officeDocument/2006/relationships/hyperlink" Target="https://zakon.rada.gov.ua/laws/show/902-2014-%D1%80" TargetMode="External"/><Relationship Id="rId28" Type="http://schemas.openxmlformats.org/officeDocument/2006/relationships/footer" Target="footer2.xml"/><Relationship Id="rId36" Type="http://schemas.openxmlformats.org/officeDocument/2006/relationships/hyperlink" Target="https://ec.europa.eu/energy/sites/ener/files/documents/se_final_necp_main_en.pdf" TargetMode="External"/><Relationship Id="rId49" Type="http://schemas.openxmlformats.org/officeDocument/2006/relationships/hyperlink" Target="https://www.ren21.net/wp-content/uploads/2019/05/GSR2021_Full_Report.pdf" TargetMode="External"/><Relationship Id="rId57" Type="http://schemas.openxmlformats.org/officeDocument/2006/relationships/hyperlink" Target="https://bit.ly/3hOKZzE" TargetMode="External"/><Relationship Id="rId10" Type="http://schemas.openxmlformats.org/officeDocument/2006/relationships/image" Target="media/image3.jpeg"/><Relationship Id="rId31" Type="http://schemas.openxmlformats.org/officeDocument/2006/relationships/hyperlink" Target="https://eur-lex.europa.eu/eli/dir/2018/2001/2018-12-21" TargetMode="External"/><Relationship Id="rId44" Type="http://schemas.openxmlformats.org/officeDocument/2006/relationships/hyperlink" Target="https://eur-lex.europa.eu/eli/dir/2009/28/oj" TargetMode="External"/><Relationship Id="rId52" Type="http://schemas.openxmlformats.org/officeDocument/2006/relationships/hyperlink" Target="https://bit.ly/3Cm6fVA" TargetMode="External"/><Relationship Id="rId60" Type="http://schemas.openxmlformats.org/officeDocument/2006/relationships/hyperlink" Target="https://eur-lex.europa.eu/eli/dir/2018/2001/2018-12-21" TargetMode="External"/><Relationship Id="rId65" Type="http://schemas.openxmlformats.org/officeDocument/2006/relationships/hyperlink" Target="https://ec.europa.eu/energy/sites/ener/files/documents/se_final_necp_main_en.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eur-lex.europa.eu/eli/dir/2009/28/oj" TargetMode="External"/><Relationship Id="rId18" Type="http://schemas.openxmlformats.org/officeDocument/2006/relationships/hyperlink" Target="https://www.ren21.net/wp-content/uploads/2019/05/GSR2021_Full_Report.pdf" TargetMode="External"/><Relationship Id="rId39" Type="http://schemas.openxmlformats.org/officeDocument/2006/relationships/hyperlink" Target="https://zakon.rada.gov.ua/laws/show/902-2014-%D1%80" TargetMode="External"/><Relationship Id="rId34" Type="http://schemas.openxmlformats.org/officeDocument/2006/relationships/hyperlink" Target="https://bit.ly/3lbEjwm" TargetMode="External"/><Relationship Id="rId50" Type="http://schemas.openxmlformats.org/officeDocument/2006/relationships/hyperlink" Target="https://ec.europa.eu/energy/sites/ener/files/documents/se_final_necp_main_en.pdf" TargetMode="External"/><Relationship Id="rId55" Type="http://schemas.openxmlformats.org/officeDocument/2006/relationships/hyperlink" Target="https://saee.gov.ua/sites/default/files/RE_SAEE_2019.pdf" TargetMode="External"/><Relationship Id="rId7" Type="http://schemas.openxmlformats.org/officeDocument/2006/relationships/endnotes" Target="endnotes.xml"/><Relationship Id="rId71" Type="http://schemas.openxmlformats.org/officeDocument/2006/relationships/hyperlink" Target="https://zakon.rada.gov.ua/laws/show/430-2018-%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4369-DD83-47EE-9443-C16D152A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23543</Words>
  <Characters>13421</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3 ОЦІНКА ПОТЕНЦІАЛУ ЕНЕРГЕТИЧНИХ КУЛЬТУР</vt:lpstr>
    </vt:vector>
  </TitlesOfParts>
  <Company>*</Company>
  <LinksUpToDate>false</LinksUpToDate>
  <CharactersWithSpaces>36891</CharactersWithSpaces>
  <SharedDoc>false</SharedDoc>
  <HLinks>
    <vt:vector size="288" baseType="variant">
      <vt:variant>
        <vt:i4>3014782</vt:i4>
      </vt:variant>
      <vt:variant>
        <vt:i4>141</vt:i4>
      </vt:variant>
      <vt:variant>
        <vt:i4>0</vt:i4>
      </vt:variant>
      <vt:variant>
        <vt:i4>5</vt:i4>
      </vt:variant>
      <vt:variant>
        <vt:lpwstr>https://www.ieabioenergy.com/wp-content/uploads/2020/10/Gasification-of-paper-reject-to-displace-natural-gas-usage-in-a-pulp-and-paper-process_CS2_T33.pdf</vt:lpwstr>
      </vt:variant>
      <vt:variant>
        <vt:lpwstr/>
      </vt:variant>
      <vt:variant>
        <vt:i4>589908</vt:i4>
      </vt:variant>
      <vt:variant>
        <vt:i4>138</vt:i4>
      </vt:variant>
      <vt:variant>
        <vt:i4>0</vt:i4>
      </vt:variant>
      <vt:variant>
        <vt:i4>5</vt:i4>
      </vt:variant>
      <vt:variant>
        <vt:lpwstr>https://www.ieabioenergy.com/wp-content/uploads/2020/10/Waste-to-Energy-for-the-production-of-steam-for-paper-production_CS4_T36.pdf</vt:lpwstr>
      </vt:variant>
      <vt:variant>
        <vt:lpwstr/>
      </vt:variant>
      <vt:variant>
        <vt:i4>6619139</vt:i4>
      </vt:variant>
      <vt:variant>
        <vt:i4>135</vt:i4>
      </vt:variant>
      <vt:variant>
        <vt:i4>0</vt:i4>
      </vt:variant>
      <vt:variant>
        <vt:i4>5</vt:i4>
      </vt:variant>
      <vt:variant>
        <vt:lpwstr>https://www.ieabioenergy.com/wp-content/uploads/2020/10/High-temperature-heat-from-pyrolysis-oil-final_CS3_T34_.pdf</vt:lpwstr>
      </vt:variant>
      <vt:variant>
        <vt:lpwstr/>
      </vt:variant>
      <vt:variant>
        <vt:i4>2949154</vt:i4>
      </vt:variant>
      <vt:variant>
        <vt:i4>132</vt:i4>
      </vt:variant>
      <vt:variant>
        <vt:i4>0</vt:i4>
      </vt:variant>
      <vt:variant>
        <vt:i4>5</vt:i4>
      </vt:variant>
      <vt:variant>
        <vt:lpwstr>http://www.pyne.co.uk/Resources/user/PyNe July 2012 - Issue 31.pdf</vt:lpwstr>
      </vt:variant>
      <vt:variant>
        <vt:lpwstr/>
      </vt:variant>
      <vt:variant>
        <vt:i4>3342463</vt:i4>
      </vt:variant>
      <vt:variant>
        <vt:i4>129</vt:i4>
      </vt:variant>
      <vt:variant>
        <vt:i4>0</vt:i4>
      </vt:variant>
      <vt:variant>
        <vt:i4>5</vt:i4>
      </vt:variant>
      <vt:variant>
        <vt:lpwstr>https://www.ieabioenergy.com/wp-content/uploads/2020/10/Wood-chips-combustion-for-process-steam-in-a-potato-processing-industry_CS1_T32.pdf</vt:lpwstr>
      </vt:variant>
      <vt:variant>
        <vt:lpwstr/>
      </vt:variant>
      <vt:variant>
        <vt:i4>7077987</vt:i4>
      </vt:variant>
      <vt:variant>
        <vt:i4>126</vt:i4>
      </vt:variant>
      <vt:variant>
        <vt:i4>0</vt:i4>
      </vt:variant>
      <vt:variant>
        <vt:i4>5</vt:i4>
      </vt:variant>
      <vt:variant>
        <vt:lpwstr>https://www.sciencedirect.com/science/article/pii/B9780128155547000180</vt:lpwstr>
      </vt:variant>
      <vt:variant>
        <vt:lpwstr/>
      </vt:variant>
      <vt:variant>
        <vt:i4>3866741</vt:i4>
      </vt:variant>
      <vt:variant>
        <vt:i4>123</vt:i4>
      </vt:variant>
      <vt:variant>
        <vt:i4>0</vt:i4>
      </vt:variant>
      <vt:variant>
        <vt:i4>5</vt:i4>
      </vt:variant>
      <vt:variant>
        <vt:lpwstr>https://www.ieabioenergy.com/blog/publications/new-publication-2019-status-report-on-thermal-gasification-of-biomass-and-waste/</vt:lpwstr>
      </vt:variant>
      <vt:variant>
        <vt:lpwstr/>
      </vt:variant>
      <vt:variant>
        <vt:i4>4456574</vt:i4>
      </vt:variant>
      <vt:variant>
        <vt:i4>120</vt:i4>
      </vt:variant>
      <vt:variant>
        <vt:i4>0</vt:i4>
      </vt:variant>
      <vt:variant>
        <vt:i4>5</vt:i4>
      </vt:variant>
      <vt:variant>
        <vt:lpwstr>http://w1.c1.rada.gov.ua/pls/zweb2/webproc4_1?pf3511=68617</vt:lpwstr>
      </vt:variant>
      <vt:variant>
        <vt:lpwstr/>
      </vt:variant>
      <vt:variant>
        <vt:i4>4522062</vt:i4>
      </vt:variant>
      <vt:variant>
        <vt:i4>117</vt:i4>
      </vt:variant>
      <vt:variant>
        <vt:i4>0</vt:i4>
      </vt:variant>
      <vt:variant>
        <vt:i4>5</vt:i4>
      </vt:variant>
      <vt:variant>
        <vt:lpwstr>https://www.ieabioenergy.com/wp-content/uploads/2020/11/Task-39-Phase-2.2-Ethanol-2G-Comparison-of-Biofuel-Life-Cycle-Analysis-Tools.pdf</vt:lpwstr>
      </vt:variant>
      <vt:variant>
        <vt:lpwstr/>
      </vt:variant>
      <vt:variant>
        <vt:i4>4915281</vt:i4>
      </vt:variant>
      <vt:variant>
        <vt:i4>114</vt:i4>
      </vt:variant>
      <vt:variant>
        <vt:i4>0</vt:i4>
      </vt:variant>
      <vt:variant>
        <vt:i4>5</vt:i4>
      </vt:variant>
      <vt:variant>
        <vt:lpwstr>https://www.ieabioenergy.com/wp-content/uploads/2013/10/IEA-Bioenergy-2009-Annual-Report.pdf</vt:lpwstr>
      </vt:variant>
      <vt:variant>
        <vt:lpwstr/>
      </vt:variant>
      <vt:variant>
        <vt:i4>589830</vt:i4>
      </vt:variant>
      <vt:variant>
        <vt:i4>111</vt:i4>
      </vt:variant>
      <vt:variant>
        <vt:i4>0</vt:i4>
      </vt:variant>
      <vt:variant>
        <vt:i4>5</vt:i4>
      </vt:variant>
      <vt:variant>
        <vt:lpwstr>https://www.ieabioenergy.com/wp-content/uploads/2020/05/IEA-Bioenergy-Annual-Report-2019-Rev-26-May-2020.pdf</vt:lpwstr>
      </vt:variant>
      <vt:variant>
        <vt:lpwstr/>
      </vt:variant>
      <vt:variant>
        <vt:i4>1376279</vt:i4>
      </vt:variant>
      <vt:variant>
        <vt:i4>108</vt:i4>
      </vt:variant>
      <vt:variant>
        <vt:i4>0</vt:i4>
      </vt:variant>
      <vt:variant>
        <vt:i4>5</vt:i4>
      </vt:variant>
      <vt:variant>
        <vt:lpwstr>https://citeseerx.ist.psu.edu/viewdoc/download?doi=10.1.1.121.7418&amp;rep=rep1&amp;type=pdf</vt:lpwstr>
      </vt:variant>
      <vt:variant>
        <vt:lpwstr/>
      </vt:variant>
      <vt:variant>
        <vt:i4>3014782</vt:i4>
      </vt:variant>
      <vt:variant>
        <vt:i4>105</vt:i4>
      </vt:variant>
      <vt:variant>
        <vt:i4>0</vt:i4>
      </vt:variant>
      <vt:variant>
        <vt:i4>5</vt:i4>
      </vt:variant>
      <vt:variant>
        <vt:lpwstr>https://www.ieabioenergy.com/wp-content/uploads/2020/10/Gasification-of-paper-reject-to-displace-natural-gas-usage-in-a-pulp-and-paper-process_CS2_T33.pdf</vt:lpwstr>
      </vt:variant>
      <vt:variant>
        <vt:lpwstr/>
      </vt:variant>
      <vt:variant>
        <vt:i4>589908</vt:i4>
      </vt:variant>
      <vt:variant>
        <vt:i4>102</vt:i4>
      </vt:variant>
      <vt:variant>
        <vt:i4>0</vt:i4>
      </vt:variant>
      <vt:variant>
        <vt:i4>5</vt:i4>
      </vt:variant>
      <vt:variant>
        <vt:lpwstr>https://www.ieabioenergy.com/wp-content/uploads/2020/10/Waste-to-Energy-for-the-production-of-steam-for-paper-production_CS4_T36.pdf</vt:lpwstr>
      </vt:variant>
      <vt:variant>
        <vt:lpwstr/>
      </vt:variant>
      <vt:variant>
        <vt:i4>6619139</vt:i4>
      </vt:variant>
      <vt:variant>
        <vt:i4>99</vt:i4>
      </vt:variant>
      <vt:variant>
        <vt:i4>0</vt:i4>
      </vt:variant>
      <vt:variant>
        <vt:i4>5</vt:i4>
      </vt:variant>
      <vt:variant>
        <vt:lpwstr>https://www.ieabioenergy.com/wp-content/uploads/2020/10/High-temperature-heat-from-pyrolysis-oil-final_CS3_T34_.pdf</vt:lpwstr>
      </vt:variant>
      <vt:variant>
        <vt:lpwstr/>
      </vt:variant>
      <vt:variant>
        <vt:i4>2949154</vt:i4>
      </vt:variant>
      <vt:variant>
        <vt:i4>96</vt:i4>
      </vt:variant>
      <vt:variant>
        <vt:i4>0</vt:i4>
      </vt:variant>
      <vt:variant>
        <vt:i4>5</vt:i4>
      </vt:variant>
      <vt:variant>
        <vt:lpwstr>http://www.pyne.co.uk/Resources/user/PyNe July 2012 - Issue 31.pdf</vt:lpwstr>
      </vt:variant>
      <vt:variant>
        <vt:lpwstr/>
      </vt:variant>
      <vt:variant>
        <vt:i4>3342463</vt:i4>
      </vt:variant>
      <vt:variant>
        <vt:i4>93</vt:i4>
      </vt:variant>
      <vt:variant>
        <vt:i4>0</vt:i4>
      </vt:variant>
      <vt:variant>
        <vt:i4>5</vt:i4>
      </vt:variant>
      <vt:variant>
        <vt:lpwstr>https://www.ieabioenergy.com/wp-content/uploads/2020/10/Wood-chips-combustion-for-process-steam-in-a-potato-processing-industry_CS1_T32.pdf</vt:lpwstr>
      </vt:variant>
      <vt:variant>
        <vt:lpwstr/>
      </vt:variant>
      <vt:variant>
        <vt:i4>7077987</vt:i4>
      </vt:variant>
      <vt:variant>
        <vt:i4>90</vt:i4>
      </vt:variant>
      <vt:variant>
        <vt:i4>0</vt:i4>
      </vt:variant>
      <vt:variant>
        <vt:i4>5</vt:i4>
      </vt:variant>
      <vt:variant>
        <vt:lpwstr>https://www.sciencedirect.com/science/article/pii/B9780128155547000180</vt:lpwstr>
      </vt:variant>
      <vt:variant>
        <vt:lpwstr/>
      </vt:variant>
      <vt:variant>
        <vt:i4>3866741</vt:i4>
      </vt:variant>
      <vt:variant>
        <vt:i4>87</vt:i4>
      </vt:variant>
      <vt:variant>
        <vt:i4>0</vt:i4>
      </vt:variant>
      <vt:variant>
        <vt:i4>5</vt:i4>
      </vt:variant>
      <vt:variant>
        <vt:lpwstr>https://www.ieabioenergy.com/blog/publications/new-publication-2019-status-report-on-thermal-gasification-of-biomass-and-waste/</vt:lpwstr>
      </vt:variant>
      <vt:variant>
        <vt:lpwstr/>
      </vt:variant>
      <vt:variant>
        <vt:i4>4456574</vt:i4>
      </vt:variant>
      <vt:variant>
        <vt:i4>84</vt:i4>
      </vt:variant>
      <vt:variant>
        <vt:i4>0</vt:i4>
      </vt:variant>
      <vt:variant>
        <vt:i4>5</vt:i4>
      </vt:variant>
      <vt:variant>
        <vt:lpwstr>http://w1.c1.rada.gov.ua/pls/zweb2/webproc4_1?pf3511=68617</vt:lpwstr>
      </vt:variant>
      <vt:variant>
        <vt:lpwstr/>
      </vt:variant>
      <vt:variant>
        <vt:i4>4522062</vt:i4>
      </vt:variant>
      <vt:variant>
        <vt:i4>81</vt:i4>
      </vt:variant>
      <vt:variant>
        <vt:i4>0</vt:i4>
      </vt:variant>
      <vt:variant>
        <vt:i4>5</vt:i4>
      </vt:variant>
      <vt:variant>
        <vt:lpwstr>https://www.ieabioenergy.com/wp-content/uploads/2020/11/Task-39-Phase-2.2-Ethanol-2G-Comparison-of-Biofuel-Life-Cycle-Analysis-Tools.pdf</vt:lpwstr>
      </vt:variant>
      <vt:variant>
        <vt:lpwstr/>
      </vt:variant>
      <vt:variant>
        <vt:i4>4915281</vt:i4>
      </vt:variant>
      <vt:variant>
        <vt:i4>78</vt:i4>
      </vt:variant>
      <vt:variant>
        <vt:i4>0</vt:i4>
      </vt:variant>
      <vt:variant>
        <vt:i4>5</vt:i4>
      </vt:variant>
      <vt:variant>
        <vt:lpwstr>https://www.ieabioenergy.com/wp-content/uploads/2013/10/IEA-Bioenergy-2009-Annual-Report.pdf</vt:lpwstr>
      </vt:variant>
      <vt:variant>
        <vt:lpwstr/>
      </vt:variant>
      <vt:variant>
        <vt:i4>589830</vt:i4>
      </vt:variant>
      <vt:variant>
        <vt:i4>75</vt:i4>
      </vt:variant>
      <vt:variant>
        <vt:i4>0</vt:i4>
      </vt:variant>
      <vt:variant>
        <vt:i4>5</vt:i4>
      </vt:variant>
      <vt:variant>
        <vt:lpwstr>https://www.ieabioenergy.com/wp-content/uploads/2020/05/IEA-Bioenergy-Annual-Report-2019-Rev-26-May-2020.pdf</vt:lpwstr>
      </vt:variant>
      <vt:variant>
        <vt:lpwstr/>
      </vt:variant>
      <vt:variant>
        <vt:i4>1376279</vt:i4>
      </vt:variant>
      <vt:variant>
        <vt:i4>72</vt:i4>
      </vt:variant>
      <vt:variant>
        <vt:i4>0</vt:i4>
      </vt:variant>
      <vt:variant>
        <vt:i4>5</vt:i4>
      </vt:variant>
      <vt:variant>
        <vt:lpwstr>https://citeseerx.ist.psu.edu/viewdoc/download?doi=10.1.1.121.7418&amp;rep=rep1&amp;type=pdf</vt:lpwstr>
      </vt:variant>
      <vt:variant>
        <vt:lpwstr/>
      </vt:variant>
      <vt:variant>
        <vt:i4>3014782</vt:i4>
      </vt:variant>
      <vt:variant>
        <vt:i4>69</vt:i4>
      </vt:variant>
      <vt:variant>
        <vt:i4>0</vt:i4>
      </vt:variant>
      <vt:variant>
        <vt:i4>5</vt:i4>
      </vt:variant>
      <vt:variant>
        <vt:lpwstr>https://www.ieabioenergy.com/wp-content/uploads/2020/10/Gasification-of-paper-reject-to-displace-natural-gas-usage-in-a-pulp-and-paper-process_CS2_T33.pdf</vt:lpwstr>
      </vt:variant>
      <vt:variant>
        <vt:lpwstr/>
      </vt:variant>
      <vt:variant>
        <vt:i4>589908</vt:i4>
      </vt:variant>
      <vt:variant>
        <vt:i4>66</vt:i4>
      </vt:variant>
      <vt:variant>
        <vt:i4>0</vt:i4>
      </vt:variant>
      <vt:variant>
        <vt:i4>5</vt:i4>
      </vt:variant>
      <vt:variant>
        <vt:lpwstr>https://www.ieabioenergy.com/wp-content/uploads/2020/10/Waste-to-Energy-for-the-production-of-steam-for-paper-production_CS4_T36.pdf</vt:lpwstr>
      </vt:variant>
      <vt:variant>
        <vt:lpwstr/>
      </vt:variant>
      <vt:variant>
        <vt:i4>6619139</vt:i4>
      </vt:variant>
      <vt:variant>
        <vt:i4>63</vt:i4>
      </vt:variant>
      <vt:variant>
        <vt:i4>0</vt:i4>
      </vt:variant>
      <vt:variant>
        <vt:i4>5</vt:i4>
      </vt:variant>
      <vt:variant>
        <vt:lpwstr>https://www.ieabioenergy.com/wp-content/uploads/2020/10/High-temperature-heat-from-pyrolysis-oil-final_CS3_T34_.pdf</vt:lpwstr>
      </vt:variant>
      <vt:variant>
        <vt:lpwstr/>
      </vt:variant>
      <vt:variant>
        <vt:i4>2949154</vt:i4>
      </vt:variant>
      <vt:variant>
        <vt:i4>60</vt:i4>
      </vt:variant>
      <vt:variant>
        <vt:i4>0</vt:i4>
      </vt:variant>
      <vt:variant>
        <vt:i4>5</vt:i4>
      </vt:variant>
      <vt:variant>
        <vt:lpwstr>http://www.pyne.co.uk/Resources/user/PyNe July 2012 - Issue 31.pdf</vt:lpwstr>
      </vt:variant>
      <vt:variant>
        <vt:lpwstr/>
      </vt:variant>
      <vt:variant>
        <vt:i4>3342463</vt:i4>
      </vt:variant>
      <vt:variant>
        <vt:i4>57</vt:i4>
      </vt:variant>
      <vt:variant>
        <vt:i4>0</vt:i4>
      </vt:variant>
      <vt:variant>
        <vt:i4>5</vt:i4>
      </vt:variant>
      <vt:variant>
        <vt:lpwstr>https://www.ieabioenergy.com/wp-content/uploads/2020/10/Wood-chips-combustion-for-process-steam-in-a-potato-processing-industry_CS1_T32.pdf</vt:lpwstr>
      </vt:variant>
      <vt:variant>
        <vt:lpwstr/>
      </vt:variant>
      <vt:variant>
        <vt:i4>7077987</vt:i4>
      </vt:variant>
      <vt:variant>
        <vt:i4>54</vt:i4>
      </vt:variant>
      <vt:variant>
        <vt:i4>0</vt:i4>
      </vt:variant>
      <vt:variant>
        <vt:i4>5</vt:i4>
      </vt:variant>
      <vt:variant>
        <vt:lpwstr>https://www.sciencedirect.com/science/article/pii/B9780128155547000180</vt:lpwstr>
      </vt:variant>
      <vt:variant>
        <vt:lpwstr/>
      </vt:variant>
      <vt:variant>
        <vt:i4>3866741</vt:i4>
      </vt:variant>
      <vt:variant>
        <vt:i4>51</vt:i4>
      </vt:variant>
      <vt:variant>
        <vt:i4>0</vt:i4>
      </vt:variant>
      <vt:variant>
        <vt:i4>5</vt:i4>
      </vt:variant>
      <vt:variant>
        <vt:lpwstr>https://www.ieabioenergy.com/blog/publications/new-publication-2019-status-report-on-thermal-gasification-of-biomass-and-waste/</vt:lpwstr>
      </vt:variant>
      <vt:variant>
        <vt:lpwstr/>
      </vt:variant>
      <vt:variant>
        <vt:i4>4456574</vt:i4>
      </vt:variant>
      <vt:variant>
        <vt:i4>48</vt:i4>
      </vt:variant>
      <vt:variant>
        <vt:i4>0</vt:i4>
      </vt:variant>
      <vt:variant>
        <vt:i4>5</vt:i4>
      </vt:variant>
      <vt:variant>
        <vt:lpwstr>http://w1.c1.rada.gov.ua/pls/zweb2/webproc4_1?pf3511=68617</vt:lpwstr>
      </vt:variant>
      <vt:variant>
        <vt:lpwstr/>
      </vt:variant>
      <vt:variant>
        <vt:i4>4522062</vt:i4>
      </vt:variant>
      <vt:variant>
        <vt:i4>45</vt:i4>
      </vt:variant>
      <vt:variant>
        <vt:i4>0</vt:i4>
      </vt:variant>
      <vt:variant>
        <vt:i4>5</vt:i4>
      </vt:variant>
      <vt:variant>
        <vt:lpwstr>https://www.ieabioenergy.com/wp-content/uploads/2020/11/Task-39-Phase-2.2-Ethanol-2G-Comparison-of-Biofuel-Life-Cycle-Analysis-Tools.pdf</vt:lpwstr>
      </vt:variant>
      <vt:variant>
        <vt:lpwstr/>
      </vt:variant>
      <vt:variant>
        <vt:i4>4915281</vt:i4>
      </vt:variant>
      <vt:variant>
        <vt:i4>42</vt:i4>
      </vt:variant>
      <vt:variant>
        <vt:i4>0</vt:i4>
      </vt:variant>
      <vt:variant>
        <vt:i4>5</vt:i4>
      </vt:variant>
      <vt:variant>
        <vt:lpwstr>https://www.ieabioenergy.com/wp-content/uploads/2013/10/IEA-Bioenergy-2009-Annual-Report.pdf</vt:lpwstr>
      </vt:variant>
      <vt:variant>
        <vt:lpwstr/>
      </vt:variant>
      <vt:variant>
        <vt:i4>589830</vt:i4>
      </vt:variant>
      <vt:variant>
        <vt:i4>39</vt:i4>
      </vt:variant>
      <vt:variant>
        <vt:i4>0</vt:i4>
      </vt:variant>
      <vt:variant>
        <vt:i4>5</vt:i4>
      </vt:variant>
      <vt:variant>
        <vt:lpwstr>https://www.ieabioenergy.com/wp-content/uploads/2020/05/IEA-Bioenergy-Annual-Report-2019-Rev-26-May-2020.pdf</vt:lpwstr>
      </vt:variant>
      <vt:variant>
        <vt:lpwstr/>
      </vt:variant>
      <vt:variant>
        <vt:i4>1376279</vt:i4>
      </vt:variant>
      <vt:variant>
        <vt:i4>36</vt:i4>
      </vt:variant>
      <vt:variant>
        <vt:i4>0</vt:i4>
      </vt:variant>
      <vt:variant>
        <vt:i4>5</vt:i4>
      </vt:variant>
      <vt:variant>
        <vt:lpwstr>https://citeseerx.ist.psu.edu/viewdoc/download?doi=10.1.1.121.7418&amp;rep=rep1&amp;type=pdf</vt:lpwstr>
      </vt:variant>
      <vt:variant>
        <vt:lpwstr/>
      </vt:variant>
      <vt:variant>
        <vt:i4>3014782</vt:i4>
      </vt:variant>
      <vt:variant>
        <vt:i4>33</vt:i4>
      </vt:variant>
      <vt:variant>
        <vt:i4>0</vt:i4>
      </vt:variant>
      <vt:variant>
        <vt:i4>5</vt:i4>
      </vt:variant>
      <vt:variant>
        <vt:lpwstr>https://www.ieabioenergy.com/wp-content/uploads/2020/10/Gasification-of-paper-reject-to-displace-natural-gas-usage-in-a-pulp-and-paper-process_CS2_T33.pdf</vt:lpwstr>
      </vt:variant>
      <vt:variant>
        <vt:lpwstr/>
      </vt:variant>
      <vt:variant>
        <vt:i4>589908</vt:i4>
      </vt:variant>
      <vt:variant>
        <vt:i4>30</vt:i4>
      </vt:variant>
      <vt:variant>
        <vt:i4>0</vt:i4>
      </vt:variant>
      <vt:variant>
        <vt:i4>5</vt:i4>
      </vt:variant>
      <vt:variant>
        <vt:lpwstr>https://www.ieabioenergy.com/wp-content/uploads/2020/10/Waste-to-Energy-for-the-production-of-steam-for-paper-production_CS4_T36.pdf</vt:lpwstr>
      </vt:variant>
      <vt:variant>
        <vt:lpwstr/>
      </vt:variant>
      <vt:variant>
        <vt:i4>6619139</vt:i4>
      </vt:variant>
      <vt:variant>
        <vt:i4>27</vt:i4>
      </vt:variant>
      <vt:variant>
        <vt:i4>0</vt:i4>
      </vt:variant>
      <vt:variant>
        <vt:i4>5</vt:i4>
      </vt:variant>
      <vt:variant>
        <vt:lpwstr>https://www.ieabioenergy.com/wp-content/uploads/2020/10/High-temperature-heat-from-pyrolysis-oil-final_CS3_T34_.pdf</vt:lpwstr>
      </vt:variant>
      <vt:variant>
        <vt:lpwstr/>
      </vt:variant>
      <vt:variant>
        <vt:i4>2949154</vt:i4>
      </vt:variant>
      <vt:variant>
        <vt:i4>24</vt:i4>
      </vt:variant>
      <vt:variant>
        <vt:i4>0</vt:i4>
      </vt:variant>
      <vt:variant>
        <vt:i4>5</vt:i4>
      </vt:variant>
      <vt:variant>
        <vt:lpwstr>http://www.pyne.co.uk/Resources/user/PyNe July 2012 - Issue 31.pdf</vt:lpwstr>
      </vt:variant>
      <vt:variant>
        <vt:lpwstr/>
      </vt:variant>
      <vt:variant>
        <vt:i4>3342463</vt:i4>
      </vt:variant>
      <vt:variant>
        <vt:i4>21</vt:i4>
      </vt:variant>
      <vt:variant>
        <vt:i4>0</vt:i4>
      </vt:variant>
      <vt:variant>
        <vt:i4>5</vt:i4>
      </vt:variant>
      <vt:variant>
        <vt:lpwstr>https://www.ieabioenergy.com/wp-content/uploads/2020/10/Wood-chips-combustion-for-process-steam-in-a-potato-processing-industry_CS1_T32.pdf</vt:lpwstr>
      </vt:variant>
      <vt:variant>
        <vt:lpwstr/>
      </vt:variant>
      <vt:variant>
        <vt:i4>7077987</vt:i4>
      </vt:variant>
      <vt:variant>
        <vt:i4>18</vt:i4>
      </vt:variant>
      <vt:variant>
        <vt:i4>0</vt:i4>
      </vt:variant>
      <vt:variant>
        <vt:i4>5</vt:i4>
      </vt:variant>
      <vt:variant>
        <vt:lpwstr>https://www.sciencedirect.com/science/article/pii/B9780128155547000180</vt:lpwstr>
      </vt:variant>
      <vt:variant>
        <vt:lpwstr/>
      </vt:variant>
      <vt:variant>
        <vt:i4>3866741</vt:i4>
      </vt:variant>
      <vt:variant>
        <vt:i4>15</vt:i4>
      </vt:variant>
      <vt:variant>
        <vt:i4>0</vt:i4>
      </vt:variant>
      <vt:variant>
        <vt:i4>5</vt:i4>
      </vt:variant>
      <vt:variant>
        <vt:lpwstr>https://www.ieabioenergy.com/blog/publications/new-publication-2019-status-report-on-thermal-gasification-of-biomass-and-waste/</vt:lpwstr>
      </vt:variant>
      <vt:variant>
        <vt:lpwstr/>
      </vt:variant>
      <vt:variant>
        <vt:i4>4456574</vt:i4>
      </vt:variant>
      <vt:variant>
        <vt:i4>12</vt:i4>
      </vt:variant>
      <vt:variant>
        <vt:i4>0</vt:i4>
      </vt:variant>
      <vt:variant>
        <vt:i4>5</vt:i4>
      </vt:variant>
      <vt:variant>
        <vt:lpwstr>http://w1.c1.rada.gov.ua/pls/zweb2/webproc4_1?pf3511=68617</vt:lpwstr>
      </vt:variant>
      <vt:variant>
        <vt:lpwstr/>
      </vt:variant>
      <vt:variant>
        <vt:i4>4522062</vt:i4>
      </vt:variant>
      <vt:variant>
        <vt:i4>9</vt:i4>
      </vt:variant>
      <vt:variant>
        <vt:i4>0</vt:i4>
      </vt:variant>
      <vt:variant>
        <vt:i4>5</vt:i4>
      </vt:variant>
      <vt:variant>
        <vt:lpwstr>https://www.ieabioenergy.com/wp-content/uploads/2020/11/Task-39-Phase-2.2-Ethanol-2G-Comparison-of-Biofuel-Life-Cycle-Analysis-Tools.pdf</vt:lpwstr>
      </vt:variant>
      <vt:variant>
        <vt:lpwstr/>
      </vt:variant>
      <vt:variant>
        <vt:i4>4915281</vt:i4>
      </vt:variant>
      <vt:variant>
        <vt:i4>6</vt:i4>
      </vt:variant>
      <vt:variant>
        <vt:i4>0</vt:i4>
      </vt:variant>
      <vt:variant>
        <vt:i4>5</vt:i4>
      </vt:variant>
      <vt:variant>
        <vt:lpwstr>https://www.ieabioenergy.com/wp-content/uploads/2013/10/IEA-Bioenergy-2009-Annual-Report.pdf</vt:lpwstr>
      </vt:variant>
      <vt:variant>
        <vt:lpwstr/>
      </vt:variant>
      <vt:variant>
        <vt:i4>589830</vt:i4>
      </vt:variant>
      <vt:variant>
        <vt:i4>3</vt:i4>
      </vt:variant>
      <vt:variant>
        <vt:i4>0</vt:i4>
      </vt:variant>
      <vt:variant>
        <vt:i4>5</vt:i4>
      </vt:variant>
      <vt:variant>
        <vt:lpwstr>https://www.ieabioenergy.com/wp-content/uploads/2020/05/IEA-Bioenergy-Annual-Report-2019-Rev-26-May-2020.pdf</vt:lpwstr>
      </vt:variant>
      <vt:variant>
        <vt:lpwstr/>
      </vt:variant>
      <vt:variant>
        <vt:i4>1376279</vt:i4>
      </vt:variant>
      <vt:variant>
        <vt:i4>0</vt:i4>
      </vt:variant>
      <vt:variant>
        <vt:i4>0</vt:i4>
      </vt:variant>
      <vt:variant>
        <vt:i4>5</vt:i4>
      </vt:variant>
      <vt:variant>
        <vt:lpwstr>https://citeseerx.ist.psu.edu/viewdoc/download?doi=10.1.1.121.7418&amp;rep=rep1&amp;type=pdf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Володимир Шморгун</cp:lastModifiedBy>
  <cp:revision>13</cp:revision>
  <cp:lastPrinted>2020-04-20T10:31:00Z</cp:lastPrinted>
  <dcterms:created xsi:type="dcterms:W3CDTF">2021-12-12T14:34:00Z</dcterms:created>
  <dcterms:modified xsi:type="dcterms:W3CDTF">2022-02-02T12:42:00Z</dcterms:modified>
</cp:coreProperties>
</file>